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6"/>
          <w:szCs w:val="36"/>
          <w:lang w:eastAsia="zh-CN"/>
        </w:rPr>
      </w:pPr>
      <w:r>
        <w:rPr>
          <w:rFonts w:hint="default" w:ascii="Times New Roman" w:hAnsi="Times New Roman" w:eastAsia="黑体" w:cs="Times New Roman"/>
          <w:color w:val="auto"/>
          <w:sz w:val="36"/>
          <w:szCs w:val="36"/>
          <w:lang w:eastAsia="zh-CN"/>
        </w:rPr>
        <w:t>内部资料　注意保存</w:t>
      </w:r>
    </w:p>
    <w:tbl>
      <w:tblPr>
        <w:tblStyle w:val="14"/>
        <w:tblW w:w="9100"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027"/>
        <w:gridCol w:w="240"/>
        <w:gridCol w:w="283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01" w:hRule="atLeast"/>
          <w:jc w:val="center"/>
        </w:trPr>
        <w:tc>
          <w:tcPr>
            <w:tcW w:w="6027" w:type="dxa"/>
            <w:tcBorders>
              <w:right w:val="single" w:color="FF0000" w:sz="8" w:space="0"/>
            </w:tcBorders>
            <w:vAlign w:val="center"/>
          </w:tcPr>
          <w:p>
            <w:pPr>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本</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期</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要</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目</w:t>
            </w:r>
            <w:r>
              <w:rPr>
                <w:rFonts w:hint="default" w:ascii="Times New Roman" w:hAnsi="Times New Roman" w:eastAsia="黑体" w:cs="Times New Roman"/>
                <w:color w:val="auto"/>
                <w:sz w:val="72"/>
                <w:szCs w:val="72"/>
                <w:u w:val="single"/>
                <w:lang w:val="en-US" w:eastAsia="zh-CN"/>
              </w:rPr>
              <w:t xml:space="preserve"> </w:t>
            </w: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c>
          <w:tcPr>
            <w:tcW w:w="2833" w:type="dxa"/>
            <w:vMerge w:val="restart"/>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default" w:ascii="Times New Roman" w:hAnsi="Times New Roman" w:eastAsia="方正魏碑简体" w:cs="Times New Roman"/>
                <w:color w:val="FF0000"/>
                <w:sz w:val="180"/>
                <w:szCs w:val="180"/>
                <w:vertAlign w:val="baseline"/>
                <w:lang w:val="en-US" w:eastAsia="zh-CN"/>
              </w:rPr>
              <w:t>卧</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default" w:ascii="Times New Roman" w:hAnsi="Times New Roman" w:eastAsia="方正魏碑简体" w:cs="Times New Roman"/>
                <w:color w:val="FF0000"/>
                <w:sz w:val="180"/>
                <w:szCs w:val="180"/>
                <w:vertAlign w:val="baseline"/>
                <w:lang w:val="en-US" w:eastAsia="zh-CN"/>
              </w:rPr>
              <w:t>龙</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eastAsia" w:ascii="Times New Roman" w:hAnsi="Times New Roman" w:eastAsia="方正魏碑简体" w:cs="Times New Roman"/>
                <w:color w:val="FF0000"/>
                <w:sz w:val="180"/>
                <w:szCs w:val="180"/>
                <w:vertAlign w:val="baseline"/>
                <w:lang w:val="en-US" w:eastAsia="zh-CN"/>
              </w:rPr>
              <w:t>史</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黑体" w:cs="Times New Roman"/>
                <w:color w:val="auto"/>
                <w:sz w:val="36"/>
                <w:szCs w:val="36"/>
                <w:vertAlign w:val="baseline"/>
                <w:lang w:val="en-US" w:eastAsia="zh-CN"/>
              </w:rPr>
            </w:pPr>
            <w:r>
              <w:rPr>
                <w:rFonts w:hint="eastAsia" w:ascii="Times New Roman" w:hAnsi="Times New Roman" w:eastAsia="方正魏碑简体" w:cs="Times New Roman"/>
                <w:color w:val="FF0000"/>
                <w:sz w:val="180"/>
                <w:szCs w:val="180"/>
                <w:vertAlign w:val="baseline"/>
                <w:lang w:val="en-US" w:eastAsia="zh-CN"/>
              </w:rPr>
              <w:t>志</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0238" w:hRule="atLeast"/>
          <w:jc w:val="center"/>
        </w:trPr>
        <w:tc>
          <w:tcPr>
            <w:tcW w:w="6027" w:type="dxa"/>
            <w:tcBorders>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理论前沿</w:t>
            </w:r>
          </w:p>
          <w:p>
            <w:pPr>
              <w:jc w:val="both"/>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作风建设永远没有休止符</w:t>
            </w:r>
          </w:p>
          <w:p>
            <w:pPr>
              <w:keepNext w:val="0"/>
              <w:keepLines w:val="0"/>
              <w:pageBreakBefore w:val="0"/>
              <w:widowControl w:val="0"/>
              <w:kinsoku/>
              <w:wordWrap/>
              <w:overflowPunct/>
              <w:topLinePunct w:val="0"/>
              <w:autoSpaceDE/>
              <w:autoSpaceDN/>
              <w:bidi w:val="0"/>
              <w:adjustRightInd/>
              <w:snapToGrid/>
              <w:spacing w:line="460" w:lineRule="exact"/>
              <w:ind w:left="319" w:leftChars="152" w:firstLine="0" w:firstLineChars="0"/>
              <w:textAlignment w:val="auto"/>
              <w:rPr>
                <w:rFonts w:hint="eastAsia" w:ascii="Times New Roman" w:hAnsi="Times New Roman"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资政论坛</w:t>
            </w:r>
          </w:p>
          <w:p>
            <w:pPr>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人大代表多渠道联系群众纳民意集民智</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val="en-US" w:eastAsia="zh-CN"/>
              </w:rPr>
              <w:t>六</w:t>
            </w:r>
            <w:r>
              <w:rPr>
                <w:rFonts w:hint="eastAsia" w:ascii="Times New Roman" w:hAnsi="Times New Roman" w:eastAsia="方正小标宋简体" w:cs="方正小标宋简体"/>
                <w:sz w:val="36"/>
                <w:szCs w:val="36"/>
              </w:rPr>
              <w:t>月份大事记</w:t>
            </w:r>
          </w:p>
          <w:p>
            <w:pPr>
              <w:jc w:val="left"/>
              <w:rPr>
                <w:rFonts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吕志刚、杜勇开展高考巡考工作</w:t>
            </w:r>
          </w:p>
          <w:p>
            <w:pPr>
              <w:ind w:left="320" w:hanging="320" w:hangingChars="100"/>
              <w:jc w:val="left"/>
              <w:rPr>
                <w:rFonts w:ascii="Times New Roman" w:hAnsi="Times New Roman" w:eastAsia="黑体"/>
                <w:spacing w:val="-17"/>
                <w:w w:val="92"/>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pacing w:val="-17"/>
                <w:w w:val="92"/>
                <w:sz w:val="32"/>
                <w:szCs w:val="32"/>
              </w:rPr>
              <w:t>卧龙区召开违反中央八项规定精神警示教育大会</w:t>
            </w:r>
          </w:p>
          <w:p>
            <w:pPr>
              <w:jc w:val="left"/>
              <w:rPr>
                <w:rFonts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卧龙区</w:t>
            </w:r>
            <w:r>
              <w:rPr>
                <w:rFonts w:hint="eastAsia" w:ascii="方正小标宋简体" w:hAnsi="方正小标宋简体" w:eastAsia="方正小标宋简体" w:cs="方正小标宋简体"/>
                <w:sz w:val="32"/>
                <w:szCs w:val="32"/>
              </w:rPr>
              <w:t>·</w:t>
            </w:r>
            <w:r>
              <w:rPr>
                <w:rFonts w:hint="eastAsia" w:ascii="Times New Roman" w:hAnsi="Times New Roman" w:eastAsia="黑体"/>
                <w:sz w:val="32"/>
                <w:szCs w:val="32"/>
              </w:rPr>
              <w:t>中荷体育公园开园</w:t>
            </w:r>
          </w:p>
          <w:p>
            <w:pPr>
              <w:jc w:val="left"/>
              <w:rPr>
                <w:rFonts w:hint="eastAsia" w:ascii="Times New Roman" w:hAnsi="Times New Roman" w:eastAsia="黑体"/>
                <w:spacing w:val="-11"/>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pacing w:val="-11"/>
                <w:sz w:val="32"/>
                <w:szCs w:val="32"/>
              </w:rPr>
              <w:t>卧龙区开展“安全生产月”集中宣传活动</w:t>
            </w:r>
          </w:p>
          <w:p>
            <w:pPr>
              <w:keepNext w:val="0"/>
              <w:keepLines w:val="0"/>
              <w:pageBreakBefore w:val="0"/>
              <w:widowControl w:val="0"/>
              <w:kinsoku/>
              <w:wordWrap/>
              <w:overflowPunct/>
              <w:topLinePunct w:val="0"/>
              <w:autoSpaceDE/>
              <w:autoSpaceDN/>
              <w:bidi w:val="0"/>
              <w:adjustRightInd/>
              <w:snapToGrid/>
              <w:spacing w:line="460" w:lineRule="exact"/>
              <w:ind w:left="320" w:hanging="320" w:hangingChars="100"/>
              <w:jc w:val="left"/>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红色记忆</w:t>
            </w:r>
          </w:p>
          <w:p>
            <w:pPr>
              <w:jc w:val="left"/>
              <w:rPr>
                <w:rFonts w:hint="eastAsia" w:ascii="Times New Roman" w:hAnsi="Times New Roman" w:eastAsia="黑体"/>
                <w:sz w:val="32"/>
                <w:szCs w:val="32"/>
              </w:rPr>
            </w:pPr>
            <w:r>
              <w:rPr>
                <w:rFonts w:hint="eastAsia" w:ascii="Times New Roman" w:hAnsi="Times New Roman" w:eastAsia="黑体" w:cs="Times New Roman"/>
                <w:color w:val="auto"/>
                <w:sz w:val="32"/>
                <w:szCs w:val="32"/>
                <w:lang w:val="en-US" w:eastAsia="zh-CN"/>
              </w:rPr>
              <w:t>●</w:t>
            </w:r>
            <w:r>
              <w:rPr>
                <w:rFonts w:hint="eastAsia" w:ascii="Times New Roman" w:hAnsi="Times New Roman" w:eastAsia="黑体"/>
                <w:sz w:val="32"/>
                <w:szCs w:val="32"/>
              </w:rPr>
              <w:t>原南阳市成立之初党的建设</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卧龙方志</w:t>
            </w:r>
          </w:p>
          <w:p>
            <w:pPr>
              <w:jc w:val="left"/>
              <w:rPr>
                <w:rFonts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卧龙区著名群众文化</w:t>
            </w:r>
          </w:p>
          <w:p>
            <w:pPr>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color w:val="auto"/>
                <w:sz w:val="36"/>
                <w:szCs w:val="36"/>
                <w:lang w:eastAsia="zh-CN"/>
              </w:rPr>
            </w:pP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22"/>
                <w:szCs w:val="22"/>
                <w:vertAlign w:val="baseline"/>
                <w:lang w:eastAsia="zh-CN"/>
              </w:rPr>
            </w:pPr>
          </w:p>
        </w:tc>
        <w:tc>
          <w:tcPr>
            <w:tcW w:w="2833" w:type="dxa"/>
            <w:vMerge w:val="continue"/>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86" w:hRule="atLeast"/>
          <w:jc w:val="center"/>
        </w:trPr>
        <w:tc>
          <w:tcPr>
            <w:tcW w:w="6027" w:type="dxa"/>
            <w:tcBorders>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40" w:lineRule="exact"/>
              <w:jc w:val="center"/>
              <w:rPr>
                <w:rFonts w:hint="default" w:ascii="Times New Roman" w:hAnsi="Times New Roman" w:eastAsia="黑体" w:cs="Times New Roman"/>
                <w:color w:val="auto"/>
                <w:sz w:val="36"/>
                <w:szCs w:val="36"/>
                <w:vertAlign w:val="baseline"/>
                <w:lang w:eastAsia="zh-CN"/>
              </w:rPr>
            </w:pPr>
          </w:p>
          <w:tbl>
            <w:tblPr>
              <w:tblStyle w:val="14"/>
              <w:tblW w:w="5305" w:type="dxa"/>
              <w:jc w:val="center"/>
              <w:tblInd w:w="0" w:type="dxa"/>
              <w:tblBorders>
                <w:top w:val="single" w:color="FF0000" w:sz="8" w:space="0"/>
                <w:left w:val="none" w:color="auto" w:sz="0" w:space="0"/>
                <w:bottom w:val="single" w:color="FF0000" w:sz="8" w:space="0"/>
                <w:right w:val="none" w:color="auto" w:sz="0" w:space="0"/>
                <w:insideH w:val="single" w:color="FF0000" w:sz="8" w:space="0"/>
                <w:insideV w:val="none" w:color="auto" w:sz="0" w:space="0"/>
              </w:tblBorders>
              <w:tblLayout w:type="fixed"/>
              <w:tblCellMar>
                <w:top w:w="0" w:type="dxa"/>
                <w:left w:w="108" w:type="dxa"/>
                <w:bottom w:w="0" w:type="dxa"/>
                <w:right w:w="108" w:type="dxa"/>
              </w:tblCellMar>
            </w:tblPr>
            <w:tblGrid>
              <w:gridCol w:w="5305"/>
            </w:tblGrid>
            <w:tr>
              <w:tblPrEx>
                <w:tblBorders>
                  <w:top w:val="single" w:color="FF0000" w:sz="8" w:space="0"/>
                  <w:left w:val="none" w:color="auto" w:sz="0" w:space="0"/>
                  <w:bottom w:val="single" w:color="FF0000" w:sz="8" w:space="0"/>
                  <w:right w:val="none" w:color="auto" w:sz="0" w:space="0"/>
                  <w:insideH w:val="single" w:color="FF0000" w:sz="8" w:space="0"/>
                  <w:insideV w:val="none" w:color="auto" w:sz="0" w:space="0"/>
                </w:tblBorders>
                <w:tblLayout w:type="fixed"/>
                <w:tblCellMar>
                  <w:top w:w="0" w:type="dxa"/>
                  <w:left w:w="108" w:type="dxa"/>
                  <w:bottom w:w="0" w:type="dxa"/>
                  <w:right w:w="108" w:type="dxa"/>
                </w:tblCellMar>
              </w:tblPrEx>
              <w:trPr>
                <w:trHeight w:val="726" w:hRule="atLeast"/>
                <w:jc w:val="center"/>
              </w:trPr>
              <w:tc>
                <w:tcPr>
                  <w:tcW w:w="5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auto"/>
                      <w:spacing w:val="0"/>
                      <w:w w:val="85"/>
                      <w:sz w:val="37"/>
                      <w:szCs w:val="37"/>
                      <w:vertAlign w:val="baseline"/>
                      <w:lang w:eastAsia="zh-CN"/>
                    </w:rPr>
                  </w:pPr>
                  <w:r>
                    <w:rPr>
                      <w:rFonts w:hint="default" w:ascii="Times New Roman" w:hAnsi="Times New Roman" w:eastAsia="黑体" w:cs="Times New Roman"/>
                      <w:color w:val="auto"/>
                      <w:spacing w:val="0"/>
                      <w:w w:val="85"/>
                      <w:sz w:val="37"/>
                      <w:szCs w:val="37"/>
                      <w:vertAlign w:val="baseline"/>
                      <w:lang w:eastAsia="zh-CN"/>
                    </w:rPr>
                    <w:t>中共卧龙区委党史</w:t>
                  </w:r>
                  <w:r>
                    <w:rPr>
                      <w:rFonts w:hint="eastAsia" w:ascii="Times New Roman" w:hAnsi="Times New Roman" w:eastAsia="黑体" w:cs="Times New Roman"/>
                      <w:color w:val="auto"/>
                      <w:spacing w:val="0"/>
                      <w:w w:val="85"/>
                      <w:sz w:val="37"/>
                      <w:szCs w:val="37"/>
                      <w:vertAlign w:val="baseline"/>
                      <w:lang w:val="en-US" w:eastAsia="zh-CN"/>
                    </w:rPr>
                    <w:t>和地方史志</w:t>
                  </w:r>
                  <w:r>
                    <w:rPr>
                      <w:rFonts w:hint="default" w:ascii="Times New Roman" w:hAnsi="Times New Roman" w:eastAsia="黑体" w:cs="Times New Roman"/>
                      <w:color w:val="auto"/>
                      <w:spacing w:val="0"/>
                      <w:w w:val="85"/>
                      <w:sz w:val="37"/>
                      <w:szCs w:val="37"/>
                      <w:vertAlign w:val="baseline"/>
                      <w:lang w:eastAsia="zh-CN"/>
                    </w:rPr>
                    <w:t>研究室</w:t>
                  </w:r>
                </w:p>
              </w:tc>
            </w:tr>
          </w:tbl>
          <w:p>
            <w:pPr>
              <w:keepNext w:val="0"/>
              <w:keepLines w:val="0"/>
              <w:pageBreakBefore w:val="0"/>
              <w:widowControl w:val="0"/>
              <w:kinsoku/>
              <w:wordWrap/>
              <w:overflowPunct/>
              <w:topLinePunct w:val="0"/>
              <w:autoSpaceDE/>
              <w:autoSpaceDN/>
              <w:bidi w:val="0"/>
              <w:adjustRightInd/>
              <w:snapToGrid/>
              <w:spacing w:line="40" w:lineRule="exact"/>
              <w:jc w:val="center"/>
              <w:rPr>
                <w:rFonts w:hint="default" w:ascii="Times New Roman" w:hAnsi="Times New Roman" w:eastAsia="黑体" w:cs="Times New Roman"/>
                <w:color w:val="auto"/>
                <w:sz w:val="36"/>
                <w:szCs w:val="36"/>
                <w:lang w:eastAsia="zh-CN"/>
              </w:rPr>
            </w:pP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c>
          <w:tcPr>
            <w:tcW w:w="2833" w:type="dxa"/>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hint="default" w:ascii="Times New Roman" w:hAnsi="Times New Roman" w:eastAsia="黑体" w:cs="Times New Roman"/>
                <w:color w:val="auto"/>
                <w:sz w:val="36"/>
                <w:szCs w:val="36"/>
                <w:vertAlign w:val="baseline"/>
                <w:lang w:eastAsia="zh-CN"/>
              </w:rPr>
            </w:pPr>
            <w:r>
              <w:rPr>
                <w:rFonts w:hint="default" w:ascii="Times New Roman" w:hAnsi="Times New Roman" w:eastAsia="黑体" w:cs="Times New Roman"/>
                <w:color w:val="auto"/>
                <w:sz w:val="36"/>
                <w:szCs w:val="36"/>
                <w:vertAlign w:val="baseline"/>
                <w:lang w:val="en-US" w:eastAsia="zh-CN"/>
              </w:rPr>
              <w:t>202</w:t>
            </w:r>
            <w:r>
              <w:rPr>
                <w:rFonts w:hint="eastAsia" w:ascii="Times New Roman" w:hAnsi="Times New Roman" w:eastAsia="黑体" w:cs="Times New Roman"/>
                <w:color w:val="auto"/>
                <w:sz w:val="36"/>
                <w:szCs w:val="36"/>
                <w:vertAlign w:val="baseline"/>
                <w:lang w:val="en-US" w:eastAsia="zh-CN"/>
              </w:rPr>
              <w:t>5</w:t>
            </w:r>
            <w:r>
              <w:rPr>
                <w:rFonts w:hint="default" w:ascii="Times New Roman" w:hAnsi="Times New Roman" w:eastAsia="黑体" w:cs="Times New Roman"/>
                <w:color w:val="auto"/>
                <w:sz w:val="36"/>
                <w:szCs w:val="36"/>
                <w:vertAlign w:val="baseline"/>
                <w:lang w:val="en-US" w:eastAsia="zh-CN"/>
              </w:rPr>
              <w:t>年第</w:t>
            </w:r>
            <w:r>
              <w:rPr>
                <w:rFonts w:hint="eastAsia" w:ascii="Times New Roman" w:hAnsi="Times New Roman" w:eastAsia="黑体" w:cs="Times New Roman"/>
                <w:color w:val="auto"/>
                <w:sz w:val="36"/>
                <w:szCs w:val="36"/>
                <w:vertAlign w:val="baseline"/>
                <w:lang w:val="en-US" w:eastAsia="zh-CN"/>
              </w:rPr>
              <w:t>6</w:t>
            </w:r>
            <w:r>
              <w:rPr>
                <w:rFonts w:hint="default" w:ascii="Times New Roman" w:hAnsi="Times New Roman" w:eastAsia="黑体" w:cs="Times New Roman"/>
                <w:color w:val="auto"/>
                <w:sz w:val="36"/>
                <w:szCs w:val="36"/>
                <w:vertAlign w:val="baseline"/>
                <w:lang w:val="en-US" w:eastAsia="zh-CN"/>
              </w:rPr>
              <w:t>期</w:t>
            </w:r>
          </w:p>
        </w:tc>
      </w:tr>
    </w:tbl>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eastAsia="方正小标宋简体" w:cs="Times New Roman"/>
          <w:color w:val="auto"/>
          <w:sz w:val="44"/>
          <w:szCs w:val="44"/>
          <w:lang w:eastAsia="zh-CN"/>
        </w:rPr>
        <w:sectPr>
          <w:pgSz w:w="11906" w:h="16838"/>
          <w:pgMar w:top="1587" w:right="1587" w:bottom="1587" w:left="1587"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cente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前　　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自2</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023</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年起，根据事业单位重塑性改革精神，原中共南阳市卧龙区委党史研究室和原南阳市卧龙区地方史志办公室合并为中共南阳市卧龙区委党史和地方史志研究室。为切实履行好党史方志部门“存史、资政、育人”职能，提高“以史鉴今”的时效性和针对性，按照“记录发展、传承历史，资政垂鉴、服务大局”的办刊宗旨，在原中共南阳市卧龙区委党史研究室主办的《卧龙党史》基础上改版为《卧龙史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卧龙史志》坚持“权威性、综合性、资政性、资料性、存史性、便览性”的编纂目标，逐月跟进记载区委、区政府贯彻落实中央、省委、市委各项决策部署的重要活动、重点工作。在积累研判的基础上，汇集成册，供各级领导参阅使用。全书不固定设置“红色经典”“资政论坛”“党史大事”“专题研究”“卧龙英模”“红色记忆”“卧龙方志”等栏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《卧龙史志》将扎实履行责任与使命，为区委区政府决策提供智力支持，为社会各界提供资政参考和发展借鉴，为“建强副中心，卧龙成高峰”弘扬主旋律、传播正能量！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sectPr>
          <w:footerReference r:id="rId3" w:type="default"/>
          <w:pgSz w:w="11906" w:h="16838"/>
          <w:pgMar w:top="1587" w:right="1587" w:bottom="1587" w:left="1587"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rPr>
          <w:rFonts w:hint="eastAsia" w:ascii="Times New Roman" w:hAnsi="Times New Roman" w:eastAsia="黑体"/>
          <w:sz w:val="32"/>
          <w:szCs w:val="32"/>
        </w:rPr>
      </w:pPr>
      <w:r>
        <w:rPr>
          <w:rFonts w:hint="eastAsia" w:ascii="Times New Roman" w:hAnsi="Times New Roman" w:eastAsia="黑体"/>
          <w:sz w:val="32"/>
          <w:szCs w:val="32"/>
        </w:rPr>
        <w:t>【</w:t>
      </w:r>
      <w:r>
        <w:rPr>
          <w:rFonts w:hint="eastAsia" w:ascii="Times New Roman" w:hAnsi="Times New Roman" w:eastAsia="黑体"/>
          <w:sz w:val="32"/>
          <w:szCs w:val="32"/>
          <w:lang w:val="en-US" w:eastAsia="zh-CN"/>
        </w:rPr>
        <w:t>理论前沿</w:t>
      </w:r>
      <w:r>
        <w:rPr>
          <w:rFonts w:hint="eastAsia" w:ascii="Times New Roman" w:hAnsi="Times New Roman" w:eastAsia="黑体"/>
          <w:sz w:val="32"/>
          <w:szCs w:val="32"/>
        </w:rPr>
        <w:t>】</w:t>
      </w: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pStyle w:val="2"/>
        <w:rPr>
          <w:rFonts w:hint="eastAsia" w:ascii="Times New Roman" w:hAnsi="Times New Roman" w:eastAsia="仿宋_GB2312"/>
          <w:color w:val="auto"/>
        </w:rPr>
      </w:pPr>
    </w:p>
    <w:p>
      <w:pPr>
        <w:jc w:val="center"/>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作风建设永远没有休止符</w:t>
      </w:r>
    </w:p>
    <w:p>
      <w:pPr>
        <w:jc w:val="cente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作风建设永远在路上，永远没有休止符。党中央决定在全党开展深入贯彻中央八项规定精神学习教育，这是今年党建工作的重点任务，进一步释放了推动正风肃纪不松劲、不止步的强烈信号。我们要深刻认识开展深入贯彻中央八项规定精神学习教育（以下简称“学习教育”）的重大意义和实践要求，切实增强高质量完成学习教育任务的政治自觉、思想自觉和行动自觉，推动作风建设走深走实，以作风建设新成效推动保持党的先进性纯洁性，不断赢得人民群众信任拥护，为进一步全面深化改革、推进中国式现代化提供有力保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仿宋_GB2312"/>
          <w:sz w:val="32"/>
          <w:szCs w:val="32"/>
        </w:rPr>
        <w:t>1.</w:t>
      </w:r>
      <w:r>
        <w:rPr>
          <w:rFonts w:hint="eastAsia" w:ascii="Times New Roman" w:hAnsi="Times New Roman" w:eastAsia="黑体"/>
          <w:sz w:val="32"/>
          <w:szCs w:val="32"/>
        </w:rPr>
        <w:t xml:space="preserve">中央八项规定是党的光荣传统和优良作风的集中体现与赓续弘扬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党的作风就是党的形象，关系人心向背，关系党的生死存亡。我们党历经百年而风华正茂、饱经磨难而生生不息，从仅有50多名党员发展成为拥有9900多万名党员、领导着14亿多人口大国、具有重大全球影响力的世界第一大执政党，贯穿其中的一条鲜明红线就是驰而不息推进党的作风建设，确保党永远不变质、不变色、不变味。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早在井冈山革命斗争时期，毛泽东同志就为工农革命军规定了“三项纪律、六项注意”，这既是党领导人民军队的严明纪律要求，也是党重视加强自身建设的鲜明作风要求。在延安整风运动中，毛泽东同志深刻阐明了党风的含义，号召全党“反对主观主义以整顿学风、反对宗派主义以整顿党风、反对党八股以整顿文风”。在党的七大上，毛泽东同志把党在长期奋斗中形成的优良作风概括为三大作风，即“理论和实践相结合的作风，和人民群众紧密地联系在一起的作风以及自我批评的作风”。党在延安时期提出“十个没有”，用“延安作风”打败了“西安作风”。在党的七届二中全会上，毛泽东同志警醒全党在夺取全国政权后要经受住执政的考验，告诫全党“务必使同志们继续地保持谦虚、谨慎、不骄、不躁的作风，务必使同志们继续地保持艰苦奋斗的作风”。这次全会根据毛泽东同志的提议，作出了防止资产阶级腐蚀和反对突出个人的六条规定。新中国成立后，毛泽东同志始终要求全党高度警惕并着力防范党员干部腐化变质，坚决惩治腐败，相继开展整风整党运动、“三反”“五反”运动等，革除不良作风，保持优良作风，党在一次次革命性锻造中不断走向成熟。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在改革开放和社会主义现代化建设新时期，邓小平同志提出，“要搞好我们的党风、军风、民风，关键是要搞好党风”，要“把毛泽东同志的建党学说和党的一整套作风恢复起来，发扬起来”。党的十一届三中全会决定健全党的民主集中制，健全党规党法，严肃党纪。党的十二大决定，从一九八三年下半年开始，用三年时间对党的作风和组织进行一次全面整顿。党的十三届六中全会通过的《中共中央关于加强党同人民群众联系的决定》，强调人民群众是我们党的力量源泉和胜利之本，要求继承和发扬我们党密切联系群众的优良传统。党的十四大党章明确作出“党风问题、党同人民群众联系问题是关系党生死存亡的问题”的重大论断。党的十五届六中全会通过的《中共中央关于加强和改进党的作风建设的决定》，鲜明指出“执政党的党风，关系党的形象，关系人心向背，关系党和国家的生死存亡”，阐述了在党的作风建设方面的“八个坚持、八个反对”。党的十七届四中全会通过的《中共中央关于加强和改进新形势下党的建设若干重大问题的决定》提出，大兴密切联系群众之风，大兴求真务实之风，大兴艰苦奋斗之风，大兴批评和自我批评之风，以坚强党性保证党的作风建设，以优良党风促政风带民风，形成凝聚党心民心的强大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党的十八大以来，以习近平同志为核心的党中央传承发扬党的光荣传统和优良作风，从制定和落实中央八项规定开局破题，坚持自上而下、以上率下，解决了新形势下党的作风建设从哪儿抓起、抓什么、怎么抓的问题。习近平总书记掷地有声地指出：“我们的责任，就是同全党同志一道，坚持党要管党、从严治党，切实解决自身存在的突出问题，切实改进工作作风，密切联系群众，使我们党始终成为中国特色社会主义事业的坚强领导核心。”这不仅充分展现了将党的自我革命进行到底的鲜明态度，而且指明了党的建设必须坚持问题导向，一以贯之以作风建设纵深推动全面从严治党。从改进调查研究到精简会议改进会风，从精简文件改进文风到规范出访活动，从改进警卫工作到改进新闻报道，从严格文稿发表到厉行勤俭节约，中央八项规定简洁而又明确、涉及方方面面。全党上下迅速行动，深入贯彻中央八项规定精神，力刹歪风邪气、重塑政治生态，如今，党风政风焕然一新、社风民风持续向好。中央八项规定以“小切口”撬动大变局，深刻改变了全党全社会的思维方式、工作方式、生活方式，是一场影响深远的“改变中国”的作风之变。中央八项规定精神愈加深入党心民心，2024年国家统计局调查显示，94.9%的受访群众对中央八项规定精神贯彻落实成效表示肯定。我们党以作风建设新气象新成效赢得了人民群众信任拥护，中央八项规定这张党的作风建设的“金色名片”越擦越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黑体"/>
          <w:sz w:val="32"/>
          <w:szCs w:val="32"/>
        </w:rPr>
        <w:t>2.以解决大党独有难题的清醒坚定驰而不息落实中央八项规定精神</w:t>
      </w:r>
      <w:r>
        <w:rPr>
          <w:rFonts w:hint="eastAsia"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在党的二十大报告中，习近平总书记郑重告诫全党，“必须时刻保持解决大党独有难题的清醒和坚定”。围绕“六个如何始终”解决“大党独有难题”是一项系统性工程，究其根本，就是聚焦建设什么样的长期执政的马克思主义政党、怎样建设长期执政的马克思主义政党这一重大时代课题，深入推进新时代党的建设新的伟大工程。通过集中教育推动全党以自我革命精神解决党的建设方面的突出问题，是一条重要历史经验。党的二十大以来，我们党先后开展学习贯彻习近平新时代中国特色社会主义思想主题教育（以下简称“主题教育”）和党纪学习教育，主题教育突出加强党的政治建设、思想建设，党纪学习教育突出加强党的纪律建设。今年部署开展的学习教育，突出加强党的作风建设。开展这次学习教育，就是进一步巩固拓展主题教育成果和巩固深化党纪学习教育成果，锲而不舍贯彻落实中央八项规定精神，推动全面从严治党向纵深发展，不断增强党的创造力、凝聚力、战斗力，不断厚植党执政的政治基础和群众基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习近平总书记指出：“作风问题具有顽固性和反复性，形成优良作风不可能一劳永逸，克服不良作风也不可能一蹴而就。”我们要清醒看到，“四风”问题具有很强变异性和传染性，党员、干部违反中央八项规定及其实施细则精神的问题还屡有发生，形式主义、官僚主义现象仍较突出，享乐主义、奢靡之风不时抬头，隐形变异行为潜滋暗长。解决作风问题必须坚持久久为功、常抓不懈，具体地而不是抽象地、认真地而不是敷衍地落实到位。这次学习教育强调坚持问题导向，有什么问题就解决什么问题，什么问题突出就整治什么问题，要求列出问题清单、逐项制定整改措施，坚决有力推动落实。我们要准确把握新形势下反“四风”的规律特点和工作要求，一体推进学查改，在常和长、严和实、深和细上下功夫，驰而不息落实中央八项规定及其实施细则精神。要牢牢站稳人民立场，密切党同人民群众的血肉联系，着力解决关系群众切身利益的问题，解决群众身边的不正之风问题，切实让老百姓可感可及。要深入查找产生问题的深层次原因，从理想信念、工作程序、体制机制等方面下功夫抑制不正之风，实现抓作风建设常态化、长效化。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党和人民事业发展到什么阶段，党的作风建设就要推进到什么阶段。以中国式现代化全面推进强国建设、民族复兴伟业，是我们党新时代新征程的中心任务。当前，外部环境变化带来的不利影响加深，我国经济运行仍面临不少困难和挑战，推进中国式现代化行稳致远需要付出更大努力。形势越严峻，任务越繁重，越需要发扬钉钉子精神加强党的作风建设，以党的优良作风凝心聚力、激发斗志、树立形象、赢得民心。前不久，习近平总书记赴贵州、云南等地考察，要求聚焦主题、简约务实地组织好学习教育。习近平总书记语重心长地指出：“看一个地方党的领导和党的建设水平高不高，一个重要方面就是看政治生态好不好。各级领导干部要切实履行管党治党责任，作风正派、公道处事，以自身模范行动推动政治生态持续净化。”各级党组织要自觉增强学习教育的政治责任感和现实紧迫感，联系全面从严治党的新形势新任务新要求，联系本地本部门本单位抓作风建设的具体实践和经验做法，进一步吃透中央八项规定及其实施细则精神，坚持正风肃纪反腐相贯通，以“同查”严惩风腐交织问题，以“同治”铲除风腐共性根源，坚决纠治不正之风背后的腐败问题，深挖细查腐败案件背后的不正之风，教育引导广大党员、干部在遵规守纪、清正廉洁的前提下大胆干事创业，使学习教育的每项举措都成为促进中心工作、推动高质量发展的有效举措，全力以赴抓好学习教育，扎实完成各项工作任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习近平总书记强调：“中央八项规定不是五年、十年的规定，而是长期有效的铁规矩、硬杠杠。”新征程上，全党上下要笃定“越是艰险越向前”的信心决心，保持“咬定青山不放松”的定力毅力，惕厉自省、慎终如始、守正创新、激浊扬清，始终坚持用改革精神和严的标准管党治党，筑牢贯彻落实中央八项规定及其实施细则精神的堤坝，打好作风建设持久战、攻坚战、攻心战，一以贯之将作风建设引向深入，锲而不舍把全面从严治党进行到底，推动百年大党在自我革命中不断焕发蓬勃生机，团结带领全国人民谱写新时代中国特色社会主义更加绚丽的华章！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（作者：郑文涛，系北京市习近平新时代中国特色社会主义思想研究中心特约研究员、首都师范大学教授） </w:t>
      </w:r>
    </w:p>
    <w:p>
      <w:pPr>
        <w:jc w:val="right"/>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来源：《光明日报》</w:t>
      </w:r>
    </w:p>
    <w:p>
      <w:pPr>
        <w:ind w:firstLine="10560" w:firstLineChars="3300"/>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jc w:val="righ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                                                            </w:t>
      </w: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jc w:val="right"/>
        <w:textAlignment w:val="auto"/>
        <w:rPr>
          <w:rFonts w:hint="eastAsia" w:ascii="Times New Roman" w:hAnsi="Times New Roman" w:eastAsia="楷体_GB2312" w:cs="楷体_GB2312"/>
          <w:sz w:val="32"/>
          <w:szCs w:val="32"/>
        </w:rPr>
      </w:pPr>
    </w:p>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br w:type="page"/>
      </w:r>
    </w:p>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t>【资政论坛】</w:t>
      </w: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pStyle w:val="2"/>
        <w:rPr>
          <w:rFonts w:hint="eastAsia" w:ascii="Times New Roman" w:hAnsi="Times New Roman" w:eastAsia="仿宋_GB2312"/>
          <w:color w:val="auto"/>
        </w:rPr>
      </w:pP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人大代表多渠道联系群众纳民意集民智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南阳市卧龙区现有各级人大代表1200名，近年来，卧龙区人大常委会多措并举，丰富人大代表联系人民群众的内容和形式，服务全区各级人大代表履职下沉，多渠道多形式联系群众吸纳民意、汇集民智，受到了广大人民群众的称赞。</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Times New Roman" w:hAnsi="Times New Roman" w:eastAsia="仿宋_GB2312"/>
          <w:sz w:val="32"/>
          <w:szCs w:val="32"/>
        </w:rPr>
      </w:pPr>
      <w:r>
        <w:rPr>
          <w:rFonts w:hint="eastAsia" w:ascii="Times New Roman" w:hAnsi="Times New Roman" w:eastAsia="黑体"/>
          <w:sz w:val="32"/>
          <w:szCs w:val="32"/>
        </w:rPr>
        <w:t>人大代表联系选民群众吸纳民意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区人大常委会要求每名人大常委会主任会议成员联系8名常委会委员，每名常委会委员联系6至8名基层人大代表，每名人大代表联系10名选民群众，并且对联系的具体任务进行了明确，代表联系选民群众情况记入代表履职档案。常态化开展代表“四个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一周一接待、一月一联系、一季度一主题日、一年一述职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活动，即每周三安排代表进代表联络站接待选民，每月代表联系一次选民群众，每个季度第三个月的15日开展代表主题日活动，每年底代表向选民进行述职。近年来，各级代表进联络站2150人次，接待选民群众4705人次，征集民生实事候选项目、优化营商环境、区人大常委会年度监督重点等意见建议4600多条，解决问题1760多件，为选民群众办实事好事580多件。2024年11月，区人大代表在卧龙区梅溪街道代表联络站接待选民群众时，了解到新能源汽车充电场所和充电桩少，及时将问题整理上报，区政府在征集2025年民生实事候选项目时予以采纳，列入实施城市焕颜工程中的一项，即“进一步优化新能源汽车充电桩布局，2025年新建新能源充电桩200个，新建改造90处规范化、标准化充电场所”。在2025年的卧龙区第七届人民代表大会第五次会议上，全体代表票决出了10件民生实事项目，该项目是其中之一。</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Times New Roman" w:hAnsi="Times New Roman" w:eastAsia="仿宋_GB2312"/>
          <w:sz w:val="32"/>
          <w:szCs w:val="32"/>
        </w:rPr>
      </w:pPr>
      <w:r>
        <w:rPr>
          <w:rFonts w:hint="eastAsia" w:ascii="Times New Roman" w:hAnsi="Times New Roman" w:eastAsia="黑体"/>
          <w:sz w:val="32"/>
          <w:szCs w:val="32"/>
        </w:rPr>
        <w:t>局长进站问政汇集民智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出台《关于规范开展“局长进人大代表联络站问政”活动的实施意见》，要求区人大常委会任命的政府部门主要负责人每年进代表联络站开展两次问政活动，坚持部门履职与镇、街道工作结合。局长进站问政活动的主要内容是联系代表和选民群众，向代表和选民群众宣传党的方针政策，收集代表和选民群众意见建议,与代表、选民群众合力探讨和破解制约卧龙区经济社会发展的难题，接受代表和选民群众问政，邀请代表和选民群众参与重大决策等。开展局长进站问政活动以来，政府27个工作部门的主要负责人向1万多人次选民群众和代表宣传了党的方针政策，现场解决实际问题310多条，共征集选民群众和代表意见建议2200多条，广泛汇聚了民智，提升了政府部门决策的民主化、科学化水平。</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Times New Roman" w:hAnsi="Times New Roman" w:eastAsia="仿宋_GB2312"/>
          <w:sz w:val="32"/>
          <w:szCs w:val="32"/>
        </w:rPr>
      </w:pPr>
      <w:r>
        <w:rPr>
          <w:rFonts w:hint="eastAsia" w:ascii="Times New Roman" w:hAnsi="Times New Roman" w:eastAsia="黑体"/>
          <w:sz w:val="32"/>
          <w:szCs w:val="32"/>
        </w:rPr>
        <w:t>人大代表“随手拍”解民忧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区人大常委会建立了“代表随手拍”网络运行平台，代表利用手机APP形式，可随时将遇到的民生问题，或是在走访联系选民群众时了解的问题，拍照后上传平台，注明时间、地点、具体问题等。区人大常委会代表联络服务中心明确专人负责平台运行，及时整理代表上传的问题，并统一反馈给区政府,区政府相关部门在接到反馈问题后，1个月内要将办理结果在平台内答复。区人大代表在辖区三里河人行步道散步时，发现步道上存在杂物，手机拍照上传“随手拍”APP,区城管环卫部门收到信息后高度重视，加密三里河人行步道环卫保洁次数，及时清理杂物，保持步道清洁，为辖区居民锻炼等提供了良好环境。</w:t>
      </w:r>
    </w:p>
    <w:p>
      <w:pPr>
        <w:ind w:firstLine="640" w:firstLineChars="200"/>
        <w:rPr>
          <w:rFonts w:ascii="Times New Roman" w:hAnsi="Times New Roman" w:eastAsia="仿宋_GB2312"/>
          <w:sz w:val="32"/>
          <w:szCs w:val="32"/>
        </w:rPr>
      </w:pPr>
    </w:p>
    <w:p>
      <w:pPr>
        <w:rPr>
          <w:rFonts w:hint="eastAsia" w:ascii="Times New Roman" w:hAnsi="Times New Roman"/>
          <w:lang w:val="en-US" w:eastAsia="zh-CN"/>
        </w:rPr>
      </w:pPr>
      <w:r>
        <w:rPr>
          <w:rFonts w:hint="eastAsia" w:ascii="Times New Roman" w:hAnsi="Times New Roman"/>
          <w:lang w:val="en-US" w:eastAsia="zh-CN"/>
        </w:rPr>
        <w:br w:type="page"/>
      </w:r>
    </w:p>
    <w:p>
      <w:pPr>
        <w:pStyle w:val="3"/>
        <w:bidi w:val="0"/>
        <w:rPr>
          <w:rFonts w:ascii="Times New Roman" w:hAnsi="Times New Roman"/>
        </w:rPr>
      </w:pPr>
      <w:r>
        <w:rPr>
          <w:rFonts w:hint="eastAsia" w:ascii="Times New Roman" w:hAnsi="Times New Roman"/>
          <w:lang w:val="en-US" w:eastAsia="zh-CN"/>
        </w:rPr>
        <w:t>六</w:t>
      </w:r>
      <w:r>
        <w:rPr>
          <w:rFonts w:hint="eastAsia" w:ascii="Times New Roman" w:hAnsi="Times New Roman"/>
        </w:rPr>
        <w:t>月份大事记</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ascii="Times New Roman" w:hAnsi="Times New Roman" w:eastAsia="黑体" w:cs="宋体"/>
          <w:color w:val="000000" w:themeColor="text1"/>
          <w:kern w:val="36"/>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卧龙区四大班子联席会议召开  </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3</w:t>
      </w:r>
      <w:r>
        <w:rPr>
          <w:rFonts w:hint="eastAsia" w:ascii="Times New Roman" w:hAnsi="Times New Roman" w:eastAsia="仿宋_GB2312"/>
          <w:sz w:val="32"/>
          <w:szCs w:val="32"/>
        </w:rPr>
        <w:t>日，卧龙区四大班子联席会议召开。会议强调，全区上下要进一步增强紧迫感。要紧盯指标抓调度；紧盯项目快推进；紧盯线索强招引；紧盯消费促提升。要始终坚持人民至上、生命至上，全力以赴抓好防汛备汛和安全生产等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卧龙区召开“十五五”规划编制工作专题会  </w:t>
      </w:r>
      <w:r>
        <w:rPr>
          <w:rFonts w:hint="eastAsia" w:ascii="Times New Roman" w:hAnsi="Times New Roman" w:eastAsia="仿宋_GB2312"/>
          <w:sz w:val="32"/>
          <w:szCs w:val="32"/>
        </w:rPr>
        <w:t>6月4日，卧龙区召开“十五五”规划编制工作专题会。会议指出，全区上下要切实增强做好“十五五”规划编制工作的责任感、使命感，锚定“经济大区勇挑大梁”的目标，通过规划编制，统一思想、深化认识，形成推动高质量发展的思路举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卧龙区委全面深化改革委员会会议召开</w:t>
      </w:r>
      <w:r>
        <w:rPr>
          <w:rFonts w:hint="eastAsia" w:ascii="Times New Roman" w:hAnsi="Times New Roman" w:eastAsia="仿宋_GB2312"/>
          <w:sz w:val="32"/>
          <w:szCs w:val="32"/>
        </w:rPr>
        <w:t xml:space="preserve">  6月4日，七届区委全面深化改革委员会会议暨区委财经委员会第六次会议召开。会议传达学习省委、市委深改委会议暨财经委会议精神，审议通过《区委深改委2025年全面深化改革工作要点》《卧龙区打造中医药文化传承发展中心专班实施方案》《2025年卧龙区打造高效生态经济先行区专班实施方案》《2025年卧龙区提升要素资源保障度专班实施方案》等文件。会议指出，要认真落实中央、省委、市委关于全面深化改革的重大决策部署，紧扣区委深改委《工作要点》，强化担当意识，用好创新思维，以持续深化改革创新推动现代化卧龙建设不断取得新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卧龙区组织开展2025年“六五”环境日主题系列宣传活动</w:t>
      </w:r>
      <w:r>
        <w:rPr>
          <w:rFonts w:hint="eastAsia" w:ascii="Times New Roman" w:hAnsi="Times New Roman" w:eastAsia="仿宋_GB2312"/>
          <w:sz w:val="32"/>
          <w:szCs w:val="32"/>
        </w:rPr>
        <w:t xml:space="preserve">  6月5日，卧龙区2025年“六五”环境日主题系列宣传活动举行。本次活动以“美丽中国我先行”为主题，集中展示卧龙区在美丽中国建设中的积极进展与显著成效，激发社会各界参与生态环境保护的热情，持续厚植生态根基与绿色家底，努力绘就青山常在、绿水长流、空气长新的美丽卧龙画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“卧龙计划”暨2025南阳躬耕艺术节启幕</w:t>
      </w:r>
      <w:r>
        <w:rPr>
          <w:rFonts w:hint="eastAsia" w:ascii="Times New Roman" w:hAnsi="Times New Roman" w:eastAsia="仿宋_GB2312"/>
          <w:sz w:val="32"/>
          <w:szCs w:val="32"/>
        </w:rPr>
        <w:t xml:space="preserve">  6月5日，“卧龙计划”暨2025南阳躬耕艺术节启幕。躬耕艺术节作为南阳市“卧龙计划”的重要载体，旨在挖掘青年戏剧人才，打造青年艺术家原创作品首演之地，为南阳市建设“青年发展型城市”注入文化动能。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卧龙区召开违反中央八项规定精神警示教育大会</w:t>
      </w:r>
      <w:r>
        <w:rPr>
          <w:rFonts w:hint="eastAsia" w:ascii="Times New Roman" w:hAnsi="Times New Roman" w:eastAsia="仿宋_GB2312"/>
          <w:sz w:val="32"/>
          <w:szCs w:val="32"/>
        </w:rPr>
        <w:t xml:space="preserve">  6月6日，卧龙区召开违反中央八项规定精神警示教育大会。会议强调，要正视问题，清醒警醒，进一步增强狠抓作风建设的思想自觉和行动自觉。要切实把自己摆进去、把职责摆进去、把工作摆进去，以开展深入贯彻中央八项规定精神学习教育为契机，坚持党性党风党纪一起抓，正风肃纪反腐相贯通，推动作风建设向纵深发展，不断巩固发展风清气正的政治生态和干事创业的良好环境。要以案为鉴，对照反思，进一步守牢中央八项规定精神铁规矩硬杠杠。要用好警示教育这剂“良药”，教育引导党员干部对照典型案例深刻检视、反躬自省，切实把学习教育成果转化为服务群众、推动发展的实际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卧龙区召开镇街道党（工）委书记述职会议</w:t>
      </w:r>
      <w:r>
        <w:rPr>
          <w:rFonts w:hint="eastAsia" w:ascii="Times New Roman" w:hAnsi="Times New Roman" w:eastAsia="仿宋_GB2312"/>
          <w:sz w:val="32"/>
          <w:szCs w:val="32"/>
        </w:rPr>
        <w:t xml:space="preserve">  6月6日，卧龙区召开镇街道党（工）委书记述职会议。会议指出，镇街道党（工）委书记作为基层党委的核心，是群众的主心骨、干部的“领头雁”、发展的排头兵。要锚定“全面提升大局贡献度”这个中心目标，把思想集中到加快发展上，把精力凝聚到干事创业上，铆定工作目标，找准工作定位，练就过硬本领，在推进“两个先行区”建设中展现时代担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吕志刚 杜勇开展高考巡考工作</w:t>
      </w:r>
      <w:r>
        <w:rPr>
          <w:rFonts w:hint="eastAsia" w:ascii="Times New Roman" w:hAnsi="Times New Roman" w:eastAsia="仿宋_GB2312"/>
          <w:sz w:val="32"/>
          <w:szCs w:val="32"/>
        </w:rPr>
        <w:t xml:space="preserve">  6月7日，区委书记吕志刚，区委副书记、区长杜勇带队开展高考巡考工作。强调要周密细致做好服务保障工作，积极营造安全安静有序的考试环境。2025年高考卧龙考区设 11 个考点，410个考场，共有11699  名考生参加考试，各项工作安全、平稳、有序进行。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卧龙区四大班子联席会议召开</w:t>
      </w:r>
      <w:r>
        <w:rPr>
          <w:rFonts w:hint="eastAsia" w:ascii="Times New Roman" w:hAnsi="Times New Roman" w:eastAsia="仿宋_GB2312"/>
          <w:sz w:val="32"/>
          <w:szCs w:val="32"/>
        </w:rPr>
        <w:t xml:space="preserve">  6月9日，卧龙区四大班子联席会议召开。会议强调，要持续掀起项目建设、招商引资高潮，压茬推进重点项目开工、推进、竣工、投产，全生命周期做好项目建设闭环管理，逐步滚动促进项目建设提速提质提效。要深化群众身边不正之风和腐败问题集中整治，持续巩固风清气正的政治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卧龙区召开涉农重点项目推进会</w:t>
      </w:r>
      <w:r>
        <w:rPr>
          <w:rFonts w:hint="eastAsia" w:ascii="Times New Roman" w:hAnsi="Times New Roman" w:eastAsia="仿宋_GB2312"/>
          <w:sz w:val="32"/>
          <w:szCs w:val="32"/>
        </w:rPr>
        <w:t xml:space="preserve">  6月10日，卧龙区召开涉农重点项目推进会，研究部署当前涉农重点项目建设工作。会议指出，各级各部门要深刻认识高标准农田建设的重大意义和紧迫性，切实提高政治站位，强化责任担当，坚持系统思维、底线意识和结果导向，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质量第一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为根本原则，严把工程质量关和资金安全关，确保项目建设规范达标，为保障粮食安全奠定坚实基础。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杜勇调研环保、城市更新工作  </w:t>
      </w:r>
      <w:r>
        <w:rPr>
          <w:rFonts w:hint="eastAsia" w:ascii="Times New Roman" w:hAnsi="Times New Roman" w:eastAsia="仿宋_GB2312"/>
          <w:sz w:val="32"/>
          <w:szCs w:val="32"/>
        </w:rPr>
        <w:t>6月10日，区委副书记、区长杜勇带队调研生态环保、城市更新工作。杜勇强调，要牢固树立绿色发展理念，健全长效管护机制，加强运行监测，全面提升污水收集和处理能力。要强化施工安全管理，及时跟进督导，确保项目尽快投入使用。相关部门要主动担当、合力攻坚，为问题楼盘化解建设提供有力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浙江省政协莅临卧龙区考察调研</w:t>
      </w:r>
      <w:r>
        <w:rPr>
          <w:rFonts w:hint="eastAsia" w:ascii="Times New Roman" w:hAnsi="Times New Roman" w:eastAsia="仿宋_GB2312"/>
          <w:sz w:val="32"/>
          <w:szCs w:val="32"/>
        </w:rPr>
        <w:t xml:space="preserve">  6月10日，浙江省政协副主席成岳冲一行9人莅临卧龙区考察调研文旅融合、自然生态保护等工作。考察组对卧龙区在月季产业培育、艾草中医药康养产业发展等方面的典型经验给予高度评价，表示将借鉴相关成功做法，加强浙豫两地交流合作，积极探索农业与文旅、康养等产业融合发展的新模式，助力乡村经济向多元化、高质量方向繁荣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 xml:space="preserve">卧龙区召开招商引资工作推进会  </w:t>
      </w:r>
      <w:r>
        <w:rPr>
          <w:rFonts w:hint="eastAsia" w:ascii="Times New Roman" w:hAnsi="Times New Roman" w:eastAsia="仿宋_GB2312"/>
          <w:sz w:val="32"/>
          <w:szCs w:val="32"/>
        </w:rPr>
        <w:t>6月12日，卧龙区招商引资工作推进会召开。会议强调，要围绕六大主导产业发展方向，严格项目“招引关”，提高招商项目“含金量”，打造具有卧龙特色的产业集群。要坚持以改革的思维和办法破解要素配置的机制障碍，全力保障用地、环评、能评等要素供给，高质高效推进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卧龙区开展“安全生产月”集中宣传活动  </w:t>
      </w:r>
      <w:r>
        <w:rPr>
          <w:rFonts w:hint="eastAsia" w:ascii="Times New Roman" w:hAnsi="Times New Roman" w:eastAsia="仿宋_GB2312"/>
          <w:sz w:val="32"/>
          <w:szCs w:val="32"/>
        </w:rPr>
        <w:t>6月16日，卧龙区围绕“人人讲安全、个个会应急——查找身边安全隐患”主题，开展集中宣传活动。活动通过图文展示、咨询服务、装备展示、互动体验等方式，向市民讲解安全生产法律法规和安全常识，内容涵盖消防安全、交通安全、燃气安全、用电安全、人身安全等多个领域，旨在提升市民的安全意识和自我保护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 xml:space="preserve">市领导到卧龙区督导调研  </w:t>
      </w:r>
      <w:r>
        <w:rPr>
          <w:rFonts w:hint="eastAsia" w:ascii="Times New Roman" w:hAnsi="Times New Roman" w:eastAsia="仿宋_GB2312"/>
          <w:sz w:val="32"/>
          <w:szCs w:val="32"/>
        </w:rPr>
        <w:t>6月17日，副市长张轩率队到卧龙区督导调研重点项目对接暨金融运行工作。张轩要求，卧龙区各部门要紧盯全年目标任务，进一步增强紧迫感、使命感和责任感，明确差距，找准贷款提升着力点，要重抓项目、强化对接，加快推进项目融资落地，要压实责任、传导压力，稳妥处置中小金融机构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吕志刚实地督导检查中考组织保障工作</w:t>
      </w:r>
      <w:r>
        <w:rPr>
          <w:rFonts w:hint="eastAsia" w:ascii="Times New Roman" w:hAnsi="Times New Roman" w:eastAsia="仿宋_GB2312"/>
          <w:sz w:val="32"/>
          <w:szCs w:val="32"/>
        </w:rPr>
        <w:t xml:space="preserve">  6月17日，区委书记吕志刚带队实地督导检查中考组织保障工作。吕志刚强调，各相关部门要强化协同配合，完善工作预案，抓实抓细考点及周边交通疏导、噪声治理、饮食安全、环境卫生、防暑降温、电力保障等各项工作，为考生营造安心、舒心的考试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吕志刚、杜勇调研督导防汛备汛工作</w:t>
      </w:r>
      <w:r>
        <w:rPr>
          <w:rFonts w:hint="eastAsia" w:ascii="Times New Roman" w:hAnsi="Times New Roman" w:eastAsia="仿宋_GB2312"/>
          <w:sz w:val="32"/>
          <w:szCs w:val="32"/>
        </w:rPr>
        <w:t xml:space="preserve">  6月17日，区委书记吕志刚带队到王村街道、卧龙岗街道、英庄镇，实地调研重点水利防洪工程建设、检查防汛备汛工作。强调要加快推进水利防洪项目建设，强化水利工程运行管理，全面提升防灾减灾救灾能力，切实守护好河湖安澜、城市安全、百姓安宁。6月19日，区委副书记、区长杜勇带队实地检查督导防汛工作。杜勇强调，要深入学习贯彻习近平总书记关于防汛减灾工作的重要指示批示精神，认真落实中央、省委、市委关于防汛减灾工作的决策部署，坚持人民至上、生命至上，进一步强化风险意识、底线思维，科学统筹做好防汛减灾各项工作。要强化监测预警，加大巡查频次，确保隐患问题早发现、早报告、早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卧龙区政府召开第49次常务会议</w:t>
      </w:r>
      <w:r>
        <w:rPr>
          <w:rFonts w:hint="eastAsia" w:ascii="Times New Roman" w:hAnsi="Times New Roman" w:eastAsia="仿宋_GB2312"/>
          <w:sz w:val="32"/>
          <w:szCs w:val="32"/>
        </w:rPr>
        <w:t xml:space="preserve">  6月20日，区委副书记、区长杜勇主持召开区政府第49次常务会议。会议集中学习习近平总书记近期重要文章《加快建设教育强国》《用中长期规划指导经济社会发展是我们党治国理政的一种重要方式》；对中央一号文件进行研讨发言。会议强调，教育部门要坚定不移落实立德树人根本任务，充分发挥教育基础性、先导性、全局性作用，一体推进教育发展、科技创新、人才培养，持续强化教育服务高质量发展的基础功能；要积极谋划包装民政、教育、卫健项目，推动民生事业蓬勃发展；各部门要把“群腐”集中整治工作作为当前重点，围绕“群腐”集中整治重点领域，着力解决群众急难愁盼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卧龙区四大班子联席会议召开</w:t>
      </w:r>
      <w:r>
        <w:rPr>
          <w:rFonts w:hint="eastAsia" w:ascii="Times New Roman" w:hAnsi="Times New Roman" w:eastAsia="仿宋_GB2312"/>
          <w:sz w:val="32"/>
          <w:szCs w:val="32"/>
        </w:rPr>
        <w:t xml:space="preserve">  6月23日，卧龙区四大班子联席会议召开</w:t>
      </w:r>
      <w:r>
        <w:rPr>
          <w:rFonts w:hint="eastAsia" w:ascii="Times New Roman" w:hAnsi="Times New Roman" w:eastAsia="仿宋_GB2312"/>
          <w:sz w:val="32"/>
          <w:szCs w:val="32"/>
        </w:rPr>
        <w:t>。传达学习省委十一届九次全会精神，通报点评近期工作进展情况，安排部署下一步重点工作。会议强调，要切实增强抓好省委巡视立行立改问题整改的政治自觉、思想自觉、行动自觉，按照整改方案明确的目标时限，制定更具针对性、可操作性的措施，强化清单化、节点化、项目化管理，推动问题如期逐一整改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bookmarkStart w:id="0" w:name="OLE_LINK1"/>
      <w:bookmarkStart w:id="1" w:name="OLE_LINK2"/>
      <w:r>
        <w:rPr>
          <w:rFonts w:hint="eastAsia" w:ascii="Times New Roman" w:hAnsi="Times New Roman" w:eastAsia="黑体"/>
          <w:sz w:val="32"/>
          <w:szCs w:val="32"/>
        </w:rPr>
        <w:t>卧龙区</w:t>
      </w:r>
      <w:r>
        <w:rPr>
          <w:rFonts w:hint="eastAsia" w:ascii="Times New Roman" w:hAnsi="Times New Roman" w:eastAsia="仿宋_GB2312" w:cs="宋体"/>
          <w:sz w:val="32"/>
          <w:szCs w:val="32"/>
        </w:rPr>
        <w:t>•</w:t>
      </w:r>
      <w:r>
        <w:rPr>
          <w:rFonts w:hint="eastAsia" w:ascii="Times New Roman" w:hAnsi="Times New Roman" w:eastAsia="黑体"/>
          <w:sz w:val="32"/>
          <w:szCs w:val="32"/>
        </w:rPr>
        <w:t>中荷体育公园开园</w:t>
      </w:r>
      <w:bookmarkEnd w:id="0"/>
      <w:bookmarkEnd w:id="1"/>
      <w:r>
        <w:rPr>
          <w:rFonts w:hint="eastAsia" w:ascii="Times New Roman" w:hAnsi="Times New Roman" w:eastAsia="仿宋_GB2312"/>
          <w:sz w:val="32"/>
          <w:szCs w:val="32"/>
        </w:rPr>
        <w:t xml:space="preserve">  6月24日，南阳市卧龙区·中荷体育公园创新合作成果发</w:t>
      </w:r>
      <w:bookmarkStart w:id="2" w:name="_GoBack"/>
      <w:bookmarkEnd w:id="2"/>
      <w:r>
        <w:rPr>
          <w:rFonts w:hint="eastAsia" w:ascii="Times New Roman" w:hAnsi="Times New Roman" w:eastAsia="仿宋_GB2312"/>
          <w:sz w:val="32"/>
          <w:szCs w:val="32"/>
        </w:rPr>
        <w:t xml:space="preserve">布暨河南省首座玩湃体育公园、首座克鲁伊夫足球场开园开赛活动举行。这标志着河南省首座玩湃体育公园、首座克鲁伊夫足球场正式在卧龙区建成开放，也标志着卧龙区“文体旅教”融合发展战略迈出坚实步伐。玩湃体育公园项目是卧龙区与快乐运动（中国）合作落成的体育项目，引进了荷兰“克鲁伊夫球场”和“玩湃生活WePark Life”品牌，为河南省首个创新体育公园品牌。其位于汉江路与滨河路交叉口西侧，总用地面积近5000平方米，是一座集运动研学、体育培训、体育服务、赛事活动于一体的全新形态户外体育公园。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卧龙区召开经济运行暨高质量发展工作推进会</w:t>
      </w:r>
      <w:r>
        <w:rPr>
          <w:rFonts w:hint="eastAsia" w:ascii="Times New Roman" w:hAnsi="Times New Roman" w:eastAsia="仿宋_GB2312"/>
          <w:sz w:val="32"/>
          <w:szCs w:val="32"/>
        </w:rPr>
        <w:t xml:space="preserve">  6月25日，卧龙区召开经济运行暨高质量发展工作推进会议。会议强调，要聚焦运行抓调度；聚焦项目抓推进；聚焦引资抓招商；聚焦企业抓服务；聚焦市场抓消费；聚焦民生抓保障。要进一步强化忧患意识、危机意识，严格落实区委、区政府关于经济运行的各项安排部署，坚定不移推动全区经济稳中有进、稳中向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卧龙区委常委会第148次会议召开</w:t>
      </w:r>
      <w:r>
        <w:rPr>
          <w:rFonts w:hint="eastAsia" w:ascii="Times New Roman" w:hAnsi="Times New Roman" w:eastAsia="仿宋_GB2312"/>
          <w:sz w:val="32"/>
          <w:szCs w:val="32"/>
        </w:rPr>
        <w:t xml:space="preserve">  6月25日，七届区委常委会召开第148次会议。传达学习习近平总书记近期重要讲话、重要文章精神以及中央、省有关会议、文件精神，研究部署卧龙区贯彻落实措施。会议传达学习《习近平关于河南工作论述摘编》第七章《提高基层社会治理能力，统筹发展和安全》重要文章精神。会议强调，要加强党的全面领导，构建党委领导、政府负责、社会协同、公众参与、法治保障的社会治理新格局；要对照市委第四巡察组的反馈意见，切实承担起巡察整改主体责任，研究制定整改方案，建立问题清单、任务清单、责任清单，明确责任人、整改措施和时限，抓好落实，确保整改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卧龙区举行商务高质量发展新闻发布会</w:t>
      </w:r>
      <w:r>
        <w:rPr>
          <w:rFonts w:hint="eastAsia" w:ascii="Times New Roman" w:hAnsi="Times New Roman" w:eastAsia="仿宋_GB2312"/>
          <w:sz w:val="32"/>
          <w:szCs w:val="32"/>
        </w:rPr>
        <w:t xml:space="preserve">  6月26日，卧龙区人民政府新闻办公室举行商务工作高质量发展新闻发布会。相关负责人针对2025年卧龙区消费品“以旧换新”、电子商务发展、新消费场景打造与新业态培育等方面工作开展情况答记者问。指出，近年来，卧龙区深入贯彻落实新发展理念，紧扣高质量发展要求，立足区域资源优势与产业基础，积极构建现代化商务发展体系。以“促消费、稳外贸、兴产业”为核心任务，全力推进商务领域改革创新，不断优化营商环境，为区域经济发展注入强劲动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卧龙区政府召开第50次常务会议</w:t>
      </w:r>
      <w:r>
        <w:rPr>
          <w:rFonts w:hint="eastAsia" w:ascii="Times New Roman" w:hAnsi="Times New Roman" w:eastAsia="仿宋_GB2312"/>
          <w:sz w:val="32"/>
          <w:szCs w:val="32"/>
        </w:rPr>
        <w:t xml:space="preserve">  6月27日，卧龙区委副书记、区长杜勇主持召开区政府第50次常务会议。会议集中学习《习近平关于河南工作论述摘编》节选，传达贯彻省委十一届九次全会精神，解读《河南省人民政府关于新时期推动招商引资高质量发展的指导意见》和中央预算内资金、超长期特别国债、地方政府专项债相关政策，听取招商引资、政府重点工作推进情况。会议强调，要认真学习习近平总书记关于基层社会治理的重要论述，深学细悟笃行，持续提升社会治理能力和现代化水平；要守牢安全底线，紧盯各类风险隐患，强化底线思维，做好源头预防、多元化解；要提升治理效能，充分运用“四议两公开”“枫桥经验”等有效载体，解决群众急难愁盼问题，让治理成效惠及更多群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 xml:space="preserve">卧龙区开展“立足岗位建新功”主题党日活动  </w:t>
      </w:r>
      <w:r>
        <w:rPr>
          <w:rFonts w:hint="eastAsia" w:ascii="Times New Roman" w:hAnsi="Times New Roman" w:eastAsia="仿宋_GB2312"/>
          <w:sz w:val="32"/>
          <w:szCs w:val="32"/>
        </w:rPr>
        <w:t>6月27日，卧龙区采取理论学习、志愿服务与学习教育相结合的方式，在城区集中开展“立足岗位建新功，奋力冲刺‘双过半’”主题党日活动。引导广大党员强党性、强素质、强担当、强作为，为推进中国式现代化建设卧龙实践贡献力量。</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卧龙区委理论学习中心组深入贯彻中央八项规定精神集体学习研讨会举行</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 xml:space="preserve"> </w:t>
      </w:r>
      <w:r>
        <w:rPr>
          <w:rFonts w:hint="eastAsia" w:ascii="Times New Roman" w:hAnsi="Times New Roman" w:eastAsia="仿宋_GB2312"/>
          <w:sz w:val="32"/>
          <w:szCs w:val="32"/>
        </w:rPr>
        <w:t>6月30日，区委理论学习中心组深入贯彻中央八项规定精神学习教育第三次集体研讨会举行，深入学习全面领会《习近平关于河南工作论述摘编》《用中长期规划指导经济社会发展是我们党治国理政的一种重要方式》主要精神。会议强调，习近平总书记考察河南时重要讲话精神以及关于河南工作的重要论述，是统领河南各项工作的“纲”和“魂”。要在深学细悟中铸牢忠诚，始终在思想上政治上行动上同以习近平同志为核心的党中央保持高度一致。要聚焦厉行节约反对浪费、集中整治违规吃喝、整治形式主义为基层减负等重点领域，进一步深化以案为鉴，持续加强日常监督。要从精简会议文件、改进调研方式、规范公务接待、严格公车管理、严禁违规吃喝等具体事抓起，以身作则、以上率下，确保推动整治工作常态化、制度化。要树立和践行正确的权力观、政绩观、事业观，用心用情用力多办一些惠民生、暖民心、顺民意的实事，让老百姓真切感受到“看得见的实惠、摸得着的幸福”。</w:t>
      </w:r>
    </w:p>
    <w:p>
      <w:pPr>
        <w:rPr>
          <w:rFonts w:ascii="Times New Roman" w:hAnsi="Times New Roman" w:eastAsia="仿宋_GB2312"/>
          <w:sz w:val="32"/>
          <w:szCs w:val="32"/>
        </w:rPr>
      </w:pPr>
    </w:p>
    <w:p>
      <w:pP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【红色记忆】</w:t>
      </w:r>
    </w:p>
    <w:p>
      <w:pPr>
        <w:pStyle w:val="2"/>
        <w:rPr>
          <w:rFonts w:hint="eastAsia" w:ascii="Times New Roman" w:hAnsi="Times New Roman"/>
        </w:rPr>
      </w:pP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原南阳市成立之初党的建设</w:t>
      </w:r>
    </w:p>
    <w:p>
      <w:pPr>
        <w:jc w:val="center"/>
        <w:rPr>
          <w:rFonts w:ascii="Times New Roman" w:hAnsi="Times New Roman" w:eastAsia="黑体"/>
          <w:sz w:val="44"/>
          <w:szCs w:val="44"/>
        </w:rPr>
      </w:pPr>
    </w:p>
    <w:p>
      <w:pPr>
        <w:jc w:val="center"/>
        <w:rPr>
          <w:rFonts w:ascii="Times New Roman" w:hAnsi="Times New Roman" w:eastAsia="黑体"/>
          <w:sz w:val="36"/>
          <w:szCs w:val="36"/>
        </w:rPr>
      </w:pPr>
      <w:r>
        <w:rPr>
          <w:rFonts w:hint="eastAsia" w:ascii="Times New Roman" w:hAnsi="Times New Roman" w:eastAsia="黑体"/>
          <w:sz w:val="36"/>
          <w:szCs w:val="36"/>
        </w:rPr>
        <w:t>加强党的建设（</w:t>
      </w:r>
      <w:r>
        <w:rPr>
          <w:rFonts w:hint="eastAsia" w:ascii="Times New Roman" w:hAnsi="Times New Roman" w:eastAsia="黑体"/>
          <w:sz w:val="36"/>
          <w:szCs w:val="36"/>
          <w:lang w:val="en-US" w:eastAsia="zh-CN"/>
        </w:rPr>
        <w:t>二</w:t>
      </w:r>
      <w:r>
        <w:rPr>
          <w:rFonts w:hint="eastAsia" w:ascii="Times New Roman" w:hAnsi="Times New Roman" w:eastAsia="黑体"/>
          <w:sz w:val="36"/>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1954年2月，中央召开了七届四中全会，一致通过《关于增强党的团结的决议》。强调党的团结是党的生命，要求全党尤其是党的高级干部提高维护党的团结的自觉性，同一切破坏党的团结，损害中央的威信，妨碍中央统一领导的言论和行动作坚决的斗争。南阳市根据省、地关于认真贯彻《关于增强党的团结的决议》的要求，在全市开展了以增强党的团结，批判资产阶级个人主义、骄傲自满、宗派主义、自由主义和分散主义为主的整党活动。整个活动从1954年5月开始至1954年10月结束。南阳市在这次整党活动中着重做了以下7个方面的工作：一、组织全市党员反复学习了党的七届四中全会决议和党在过渡时期总路线的方针政策，使全市党员都充分认识到“党的团结，工人阶级的团结，劳动人民的团结，全国人民的团结，是革命胜利的基本保证”。二、加强党的思想建设，提高党员的社会主义觉悟，使每位党员能够模范地贯彻执行党的各项方针、政策。三、充分发扬党内民主，开展了批评与自我批评，增强党的团结，反对主观主义、官僚主义、分散主义和自由主义。四、贯彻党的民主集中制原则，加强党的集体领导与个人分工</w:t>
      </w:r>
      <w:r>
        <w:rPr>
          <w:rFonts w:hint="eastAsia" w:ascii="Times New Roman" w:hAnsi="Times New Roman" w:eastAsia="仿宋_GB2312"/>
          <w:sz w:val="32"/>
          <w:szCs w:val="32"/>
          <w:lang w:val="en-US" w:eastAsia="zh-CN"/>
        </w:rPr>
        <w:t>相</w:t>
      </w:r>
      <w:r>
        <w:rPr>
          <w:rFonts w:hint="eastAsia" w:ascii="Times New Roman" w:hAnsi="Times New Roman" w:eastAsia="仿宋_GB2312"/>
          <w:sz w:val="32"/>
          <w:szCs w:val="32"/>
        </w:rPr>
        <w:t>结合。五、教育全市党员干部树立“努力工作，努力学习，老老实实，勤勤垦垦，互勉互助，力戒任何浮夸与骄傲”的工作态度，树立艰苦朴素，深入调查研究的工作作风，克服一切脱离群众和不利于经济建设的偏向。六、严肃了党的纪律，要求每位党员必须遵守四中全会关于“党的团结的利益高于一切”的决定。七、对严重破坏党的团结，有严重的个人主义、分散主义、官僚主义等不良作风，屡教不改者进行了组织处理。此次整党全市共有11名党员受到了党纪处分，其中，开除党籍2人，撤销党内职务的1人，警告6人，取消候补党员资格2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南阳市在加强党的思想政治工作的同时，也十分重视各级党组织的建立和健全。1948年11月，南阳市委刚刚建立，就设立了市委机关党支部，有8名党员组成。1949年4月，南阳市政府和基层各区政府建立党组织。当时全南阳市共有党支部12个，而此时党的基层组织处于秘密状态。1950年3月，南阳市开始公开党的组织，先行公开市公安局支部委员会，然后，其他党组织逐步全面公开。当时，南阳市已发展到党委1个，党总支部4个，基层党支部17个，党员共有187人。1953年全南阳市已发展到有市级党委1个（南阳市委），工业系统党支部8个，文体系统党支部1个，郊区乡镇行政村党支部13个，共计22个党支部。党员人数已由1951年的263人增加到369人。到1956年6月，南阳市召开中国共产党第二次代表大会时，市委的工作部门得到了进一步健全，已设置有市委办公室、组织部、宣传部、监察委员会、工业部、财贸部、市直机关党总支8个，基层党支部35个。其中工业企业支部17个，财贸4个，科学教育文化团体3个，机关10个，农村1个。与此同时，南阳市人民政府已建立政府党组，书记由市长刘文祥兼任。全市的党员总人数已增加到847名。（其中女同志237名，25岁以下486名）男女比例和年龄结构都发生了可喜的变化，同时党员的文化素质也得到了相应的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南阳市委在加强组织建设的过程中，逐步完善和建立健全了党的民主生活制度。1954年12月5日至11日，中共南阳市第一次代表大会在市政府礼堂召开。出席这次大会的正式代表67名，列席代表21名，代表全市498名党员。大会总结了南阳市5年来党的建设、政权建设、“三大改造”和工农业生产、教育文化、卫生科技、交通运输等各方面取得的成绩；对加强党的领导，保证社会主义改造和社会主义建设的胜利进行，提出了新的要求。大会审议并通过了《关于增强党的团结的决议》；号召全市党组织和全体党员，继续贯彻中共河南省第七次党代会精神，深入开展群众性增产节约活动，为迎接1955年国家建设任务作好准备。大会在充分发扬民主，反复酝酿的基础上，以无记名投票的方式，选举产生了14名委员，分别是：王诚之、刘琳、刘文祥、孙立均、李俊、孟继高、张强、隋林修、路金贵、李绍先、陈立民、孟宪仁、林博、符明义，组成中共南阳市第一届委员会。在一届一次全会上选举孙立均为市委书记，隋林修为市委副书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1956年6月4日至10日，中共南阳市第二次代表大会在市政府小礼堂召开。出席这次大会的代表98名，代表全市847名党员。大会传达了毛泽东《论十大关系》的讲话和《1956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1967年全国农业发展纲要》；审议并通过了《中共南阳市第一届委员会1955年以来工作基本总结和今后几项主要工作意见的报告》，并作出了《中国共产党南阳市第二次代表大会决议》。大会选举23名委员，2名候补委员组成南阳市委第二届委员会；选举8名委员，1名候补委员，组成南阳市委第二届监察委员会，并选举4名出席中共河南省第一次党员代表大会的代表。在随即召开的南阳市委第二届一次全会上，选举田爱芝、刘文祥、李俊、张明义、隋林修为南阳市委第二届委员会常务委员会委员。选举隋林修为市委书记，李俊为市委副书记，选举李俊兼任市委监察委员会书记，徐锡棉（女）任市委监察委员会副书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南阳市通过上述活动的开展，使全市党员干部受到了深刻教育，思想认识，理论素质有了很大提高，作风纪律得到了加强，有效地克服了资产阶级腐朽思想的侵蚀，制止和消除了官僚主义、主观主义、分散主义和骄傲自满情绪等不良作风。加强了党性教育，提高了党员素质，增强了党的团结，纯洁了党员干部思想。同时，党的各级组织尤其是党的基层组织得到了巩固和发展，党的民主政治生活制度得到了逐步的完善和健全，从而使每位党员在实际工作中能够发挥先锋模范作用，保证了南阳市经济建设及各项工作的顺利进行。</w:t>
      </w:r>
    </w:p>
    <w:p>
      <w:pPr>
        <w:rPr>
          <w:rFonts w:ascii="Times New Roman" w:hAnsi="Times New Roman" w:eastAsia="仿宋_GB2312"/>
          <w:sz w:val="32"/>
          <w:szCs w:val="32"/>
        </w:rPr>
      </w:pPr>
    </w:p>
    <w:p>
      <w:pPr>
        <w:rPr>
          <w:rFonts w:ascii="Times New Roman" w:hAnsi="Times New Roman"/>
        </w:rPr>
      </w:pPr>
    </w:p>
    <w:p>
      <w:pPr>
        <w:rPr>
          <w:rFonts w:ascii="Times New Roman" w:hAnsi="Times New Roman" w:eastAsia="仿宋_GB2312"/>
          <w:sz w:val="32"/>
          <w:szCs w:val="32"/>
        </w:rPr>
      </w:pPr>
      <w:r>
        <w:rPr>
          <w:rFonts w:ascii="Times New Roman" w:hAnsi="Times New Roman" w:eastAsia="仿宋_GB2312"/>
          <w:sz w:val="32"/>
          <w:szCs w:val="32"/>
        </w:rPr>
        <w:br w:type="page"/>
      </w:r>
    </w:p>
    <w:p>
      <w:pPr>
        <w:rPr>
          <w:rFonts w:ascii="Times New Roman" w:hAnsi="Times New Roman" w:eastAsia="黑体"/>
          <w:sz w:val="32"/>
          <w:szCs w:val="32"/>
        </w:rPr>
      </w:pPr>
      <w:r>
        <w:rPr>
          <w:rFonts w:ascii="Times New Roman" w:hAnsi="Times New Roman" w:eastAsia="黑体"/>
          <w:sz w:val="32"/>
          <w:szCs w:val="32"/>
        </w:rPr>
        <w:t>【卧龙方志】</w:t>
      </w:r>
    </w:p>
    <w:p>
      <w:pPr>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黑体"/>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卧龙区著名群众文化</w:t>
      </w:r>
    </w:p>
    <w:p>
      <w:pPr>
        <w:pStyle w:val="2"/>
        <w:rPr>
          <w:rFonts w:hint="eastAsia"/>
        </w:rPr>
      </w:pPr>
    </w:p>
    <w:p>
      <w:pPr>
        <w:pStyle w:val="19"/>
        <w:numPr>
          <w:ilvl w:val="0"/>
          <w:numId w:val="0"/>
        </w:numPr>
        <w:jc w:val="center"/>
        <w:rPr>
          <w:rFonts w:ascii="Times New Roman" w:hAnsi="Times New Roman" w:eastAsia="黑体"/>
          <w:sz w:val="32"/>
          <w:szCs w:val="32"/>
        </w:rPr>
      </w:pPr>
      <w:r>
        <w:rPr>
          <w:rFonts w:hint="eastAsia" w:ascii="Times New Roman" w:hAnsi="Times New Roman" w:eastAsia="黑体"/>
          <w:sz w:val="32"/>
          <w:szCs w:val="32"/>
          <w:lang w:val="en-US" w:eastAsia="zh-CN"/>
        </w:rPr>
        <w:t>一、</w:t>
      </w:r>
      <w:r>
        <w:rPr>
          <w:rFonts w:hint="eastAsia" w:ascii="Times New Roman" w:hAnsi="Times New Roman" w:eastAsia="黑体"/>
          <w:sz w:val="32"/>
          <w:szCs w:val="32"/>
        </w:rPr>
        <w:t>田汉茶社</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石桥镇曲艺历史悠久，氛围浓厚。清光绪年间，石桥镇朱村王庚轩与核桃园村彭老五从北京带回一些曲牌，此后他们借经商之机，到皖、鄂、陕、川等地交游，采集各处曲牌。其后，一批艺人以曲友郝吾斋家为中心，经常进行切磋，探索推陈出新，推动了大调曲由高雅向通俗化发展，增强了其发展活力。清末民初，石桥大调曲已发展改进曲牌近200个，以名噪曲坛的艺人王庚轩为师，弹唱雅聚，名扬豫西南。各地艺人来宛登门求教，络绎不绝，中央音乐学院教授曹东扶及河南大学张长弓曾在1936年专程来石桥，拜师郝吾斋门下，学习板头曲。</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20世纪50年代初，大调曲艺名人仝振武发起以马瑞武茶社园为基础，组织艺人自筹资金租赁房舍3间，在石桥镇成立南阳第一家民间曲艺研究团体，先定名为“文艺茶社”后更名为“大调曲改进社”。</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1956年2月，原文化部副部长、著名戏曲家田汉亲临石桥文艺茶社视察指导，解囊资助30元钱，并为其命名“石桥大调曲研究社”。田汉的视察指导，给艺人们以极大的鼓励，艺人们投身曲艺的热情更加高涨。50年代至60年代，石桥曲艺人员多次参加省、地举行的“曲艺调演”，均获得各级领导的充分肯定和奖励。1960年，参加“河南省民间音乐舞蹈会演”，由仝振武、马岚峰等艺人联弹的板头曲《高山流水》《萧妃舞》，荣获集体一等奖；1964年，演奏的板头曲《百鸟朝凤》荣获南阳地区曲艺会演一等奖。</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1988年5月，中国曲艺家协会副主席罗杨专程到石桥镇看望“文艺茶社”和艺人的演出，为茶社题词“改革发展曲艺艺术、丰富群众文化生活”，并题写“田汉茶社”匾额。</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如今，田汉茶社不仅是一个曲艺表演的场所，还承担着丰富群众文化生活、宣传党的方针政策、团结艺人繁荣曲艺事业等多重功能。</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茶社内设有图书室、网吧、乒乓球室等设施，满足了农民学习知识、追求健康和娱乐享受的需求。</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此外，茶社还组织各种民俗文艺演出和民间比赛，打造了一个集旅游、商贸、艺演、饮食、住宿等为一体的综合性民间传统文化街区。</w:t>
      </w:r>
    </w:p>
    <w:p>
      <w:pPr>
        <w:rPr>
          <w:rFonts w:ascii="Times New Roman" w:hAnsi="Times New Roman" w:eastAsia="仿宋_GB2312"/>
          <w:sz w:val="32"/>
          <w:szCs w:val="32"/>
        </w:rPr>
      </w:pPr>
      <w:r>
        <w:rPr>
          <w:rFonts w:ascii="Times New Roman" w:hAnsi="Times New Roman" w:eastAsia="仿宋_GB2312"/>
          <w:sz w:val="32"/>
          <w:szCs w:val="32"/>
        </w:rPr>
        <w:br w:type="page"/>
      </w:r>
    </w:p>
    <w:p>
      <w:pPr>
        <w:pStyle w:val="2"/>
        <w:rPr>
          <w:rFonts w:ascii="Times New Roman" w:hAnsi="Times New Roman"/>
        </w:rPr>
      </w:pPr>
    </w:p>
    <w:p>
      <w:pPr>
        <w:pStyle w:val="2"/>
        <w:rPr>
          <w:rFonts w:ascii="Times New Roman" w:hAnsi="Times New Roman"/>
        </w:rPr>
      </w:pPr>
    </w:p>
    <w:p>
      <w:pPr>
        <w:rPr>
          <w:rFonts w:ascii="Times New Roman" w:hAnsi="Times New Roman" w:eastAsia="仿宋_GB2312"/>
          <w:sz w:val="32"/>
          <w:szCs w:val="32"/>
        </w:rPr>
      </w:pPr>
    </w:p>
    <w:p>
      <w:pPr>
        <w:ind w:firstLine="640" w:firstLineChars="200"/>
        <w:jc w:val="left"/>
        <w:rPr>
          <w:rFonts w:ascii="Times New Roman" w:hAnsi="Times New Roman" w:eastAsia="仿宋_GB2312"/>
          <w:sz w:val="32"/>
          <w:szCs w:val="32"/>
        </w:rPr>
      </w:pPr>
    </w:p>
    <w:p>
      <w:pPr>
        <w:jc w:val="center"/>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tabs>
          <w:tab w:val="left" w:pos="1807"/>
          <w:tab w:val="clear" w:pos="4153"/>
        </w:tabs>
        <w:rPr>
          <w:rFonts w:ascii="Times New Roman" w:hAnsi="Times New Roman"/>
        </w:rPr>
      </w:pPr>
      <w:r>
        <w:rPr>
          <w:rFonts w:hint="eastAsia" w:ascii="Times New Roman" w:hAnsi="Times New Roman"/>
          <w:lang w:eastAsia="zh-CN"/>
        </w:rPr>
        <w:tab/>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tbl>
      <w:tblPr>
        <w:tblStyle w:val="14"/>
        <w:tblpPr w:leftFromText="180" w:rightFromText="180" w:vertAnchor="text" w:horzAnchor="page" w:tblpX="1586" w:tblpY="521"/>
        <w:tblOverlap w:val="never"/>
        <w:tblW w:w="880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88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pacing w:val="-11"/>
                <w:sz w:val="32"/>
                <w:szCs w:val="32"/>
                <w:vertAlign w:val="baseline"/>
                <w:lang w:eastAsia="zh-CN"/>
              </w:rPr>
            </w:pPr>
            <w:r>
              <w:rPr>
                <w:rFonts w:hint="eastAsia" w:ascii="Times New Roman" w:hAnsi="Times New Roman" w:eastAsia="仿宋_GB2312"/>
                <w:color w:val="auto"/>
                <w:sz w:val="32"/>
              </w:rPr>
              <w:br w:type="page"/>
            </w:r>
            <w:r>
              <w:rPr>
                <w:rFonts w:hint="default" w:ascii="Times New Roman" w:hAnsi="Times New Roman" w:eastAsia="仿宋_GB2312" w:cs="Times New Roman"/>
                <w:color w:val="auto"/>
                <w:sz w:val="32"/>
                <w:szCs w:val="32"/>
              </w:rPr>
              <w:br w:type="page"/>
            </w:r>
            <w:r>
              <w:rPr>
                <w:rFonts w:hint="default" w:ascii="Times New Roman" w:hAnsi="Times New Roman" w:eastAsia="仿宋_GB2312" w:cs="Times New Roman"/>
                <w:color w:val="auto"/>
                <w:sz w:val="32"/>
                <w:szCs w:val="32"/>
                <w:vertAlign w:val="baseline"/>
                <w:lang w:eastAsia="zh-CN"/>
              </w:rPr>
              <w:t>报送：</w:t>
            </w:r>
            <w:r>
              <w:rPr>
                <w:rFonts w:hint="default" w:ascii="Times New Roman" w:hAnsi="Times New Roman" w:eastAsia="仿宋_GB2312" w:cs="Times New Roman"/>
                <w:color w:val="auto"/>
                <w:spacing w:val="-11"/>
                <w:sz w:val="32"/>
                <w:szCs w:val="32"/>
                <w:vertAlign w:val="baseline"/>
                <w:lang w:eastAsia="zh-CN"/>
              </w:rPr>
              <w:t>市委党史</w:t>
            </w:r>
            <w:r>
              <w:rPr>
                <w:rFonts w:hint="eastAsia" w:ascii="Times New Roman" w:hAnsi="Times New Roman" w:eastAsia="仿宋_GB2312" w:cs="Times New Roman"/>
                <w:color w:val="auto"/>
                <w:spacing w:val="-11"/>
                <w:sz w:val="32"/>
                <w:szCs w:val="32"/>
                <w:vertAlign w:val="baseline"/>
                <w:lang w:val="en-US" w:eastAsia="zh-CN"/>
              </w:rPr>
              <w:t>和地方史志</w:t>
            </w:r>
            <w:r>
              <w:rPr>
                <w:rFonts w:hint="default" w:ascii="Times New Roman" w:hAnsi="Times New Roman" w:eastAsia="仿宋_GB2312" w:cs="Times New Roman"/>
                <w:color w:val="auto"/>
                <w:spacing w:val="-11"/>
                <w:sz w:val="32"/>
                <w:szCs w:val="32"/>
                <w:vertAlign w:val="baseline"/>
                <w:lang w:eastAsia="zh-CN"/>
              </w:rPr>
              <w:t>研究室、区委常委、区人大、区政府、</w:t>
            </w:r>
          </w:p>
          <w:p>
            <w:pPr>
              <w:keepNext w:val="0"/>
              <w:keepLines w:val="0"/>
              <w:pageBreakBefore w:val="0"/>
              <w:widowControl w:val="0"/>
              <w:kinsoku/>
              <w:wordWrap/>
              <w:overflowPunct/>
              <w:topLinePunct w:val="0"/>
              <w:autoSpaceDE/>
              <w:autoSpaceDN/>
              <w:bidi w:val="0"/>
              <w:adjustRightInd/>
              <w:snapToGrid/>
              <w:spacing w:line="580" w:lineRule="exact"/>
              <w:ind w:firstLine="953" w:firstLineChars="320"/>
              <w:rPr>
                <w:rFonts w:hint="default" w:ascii="Times New Roman" w:hAnsi="Times New Roman" w:eastAsia="仿宋_GB2312" w:cs="Times New Roman"/>
                <w:color w:val="auto"/>
                <w:spacing w:val="-11"/>
                <w:sz w:val="32"/>
                <w:szCs w:val="32"/>
                <w:vertAlign w:val="baseline"/>
                <w:lang w:eastAsia="zh-CN"/>
              </w:rPr>
            </w:pPr>
            <w:r>
              <w:rPr>
                <w:rFonts w:hint="default" w:ascii="Times New Roman" w:hAnsi="Times New Roman" w:eastAsia="仿宋_GB2312" w:cs="Times New Roman"/>
                <w:color w:val="auto"/>
                <w:spacing w:val="-11"/>
                <w:sz w:val="32"/>
                <w:szCs w:val="32"/>
                <w:vertAlign w:val="baseline"/>
                <w:lang w:eastAsia="zh-CN"/>
              </w:rPr>
              <w:t>区政协领导</w:t>
            </w:r>
          </w:p>
          <w:p>
            <w:pPr>
              <w:keepNext w:val="0"/>
              <w:keepLines w:val="0"/>
              <w:pageBreakBefore w:val="0"/>
              <w:widowControl w:val="0"/>
              <w:kinsoku/>
              <w:wordWrap/>
              <w:overflowPunct/>
              <w:topLinePunct w:val="0"/>
              <w:autoSpaceDE/>
              <w:autoSpaceDN/>
              <w:bidi w:val="0"/>
              <w:adjustRightInd/>
              <w:snapToGrid/>
              <w:spacing w:line="500" w:lineRule="exact"/>
              <w:rPr>
                <w:rFonts w:hint="eastAsia"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eastAsia="zh-CN"/>
              </w:rPr>
              <w:t>编辑：王建忠</w:t>
            </w:r>
            <w:r>
              <w:rPr>
                <w:rFonts w:hint="eastAsia" w:ascii="Times New Roman" w:hAnsi="Times New Roman" w:eastAsia="仿宋_GB2312" w:cs="Times New Roman"/>
                <w:color w:val="auto"/>
                <w:sz w:val="32"/>
                <w:szCs w:val="32"/>
                <w:vertAlign w:val="baseline"/>
                <w:lang w:val="en-US" w:eastAsia="zh-CN"/>
              </w:rPr>
              <w:t xml:space="preserve">  王晓爽  富莉薇  卢  欣</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责任编辑：王建忠  卢  欣</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eastAsia="zh-CN"/>
              </w:rPr>
              <w:t>联系电话：（</w:t>
            </w:r>
            <w:r>
              <w:rPr>
                <w:rFonts w:hint="default" w:ascii="Times New Roman" w:hAnsi="Times New Roman" w:eastAsia="仿宋_GB2312" w:cs="Times New Roman"/>
                <w:color w:val="auto"/>
                <w:sz w:val="32"/>
                <w:szCs w:val="32"/>
                <w:vertAlign w:val="baseline"/>
                <w:lang w:val="en-US" w:eastAsia="zh-CN"/>
              </w:rPr>
              <w:t>0377</w:t>
            </w:r>
            <w:r>
              <w:rPr>
                <w:rFonts w:hint="default" w:ascii="Times New Roman" w:hAnsi="Times New Roman" w:eastAsia="仿宋_GB2312" w:cs="Times New Roman"/>
                <w:color w:val="auto"/>
                <w:sz w:val="32"/>
                <w:szCs w:val="32"/>
                <w:vertAlign w:val="baseline"/>
                <w:lang w:eastAsia="zh-CN"/>
              </w:rPr>
              <w:t>）</w:t>
            </w:r>
            <w:r>
              <w:rPr>
                <w:rFonts w:hint="default" w:ascii="Times New Roman" w:hAnsi="Times New Roman" w:eastAsia="仿宋_GB2312" w:cs="Times New Roman"/>
                <w:color w:val="auto"/>
                <w:sz w:val="32"/>
                <w:szCs w:val="32"/>
                <w:vertAlign w:val="baseline"/>
                <w:lang w:val="en-US" w:eastAsia="zh-CN"/>
              </w:rPr>
              <w:t>63310659</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电子邮箱：wldss659＠163.com</w:t>
            </w:r>
          </w:p>
        </w:tc>
      </w:tr>
    </w:tbl>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default" w:ascii="Times New Roman" w:hAnsi="Times New Roman" w:eastAsia="仿宋_GB2312"/>
          <w:color w:val="auto"/>
        </w:rPr>
      </w:pPr>
    </w:p>
    <w:sectPr>
      <w:footerReference r:id="rId4" w:type="default"/>
      <w:pgSz w:w="11906" w:h="16838"/>
      <w:pgMar w:top="1701" w:right="1587" w:bottom="1587" w:left="1587"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asciiTheme="minorEastAsia" w:hAnsiTheme="minorEastAsia" w:cstheme="minorEastAsia"/>
                              <w:color w:val="000000"/>
                              <w:sz w:val="28"/>
                              <w:szCs w:val="28"/>
                              <w:lang w:eastAsia="zh-CN"/>
                            </w:rPr>
                          </w:pPr>
                          <w:r>
                            <w:rPr>
                              <w:rFonts w:hint="eastAsia" w:eastAsia="仿宋_GB2312" w:asciiTheme="minorEastAsia" w:hAnsiTheme="minorEastAsia" w:cstheme="minorEastAsia"/>
                              <w:color w:val="000000"/>
                              <w:sz w:val="28"/>
                              <w:szCs w:val="28"/>
                              <w:lang w:eastAsia="zh-CN"/>
                            </w:rPr>
                            <w:t>－</w:t>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fldChar w:fldCharType="begin"/>
                          </w:r>
                          <w:r>
                            <w:rPr>
                              <w:rFonts w:hint="eastAsia" w:eastAsia="仿宋_GB2312" w:asciiTheme="minorEastAsia" w:hAnsiTheme="minorEastAsia" w:cstheme="minorEastAsia"/>
                              <w:color w:val="000000"/>
                              <w:sz w:val="28"/>
                              <w:szCs w:val="28"/>
                              <w:lang w:eastAsia="zh-CN"/>
                            </w:rPr>
                            <w:instrText xml:space="preserve"> PAGE  \* MERGEFORMAT </w:instrText>
                          </w:r>
                          <w:r>
                            <w:rPr>
                              <w:rFonts w:hint="eastAsia" w:eastAsia="仿宋_GB2312" w:asciiTheme="minorEastAsia" w:hAnsiTheme="minorEastAsia" w:cstheme="minorEastAsia"/>
                              <w:color w:val="000000"/>
                              <w:sz w:val="28"/>
                              <w:szCs w:val="28"/>
                              <w:lang w:eastAsia="zh-CN"/>
                            </w:rPr>
                            <w:fldChar w:fldCharType="separate"/>
                          </w:r>
                          <w:r>
                            <w:rPr>
                              <w:rFonts w:hint="eastAsia" w:eastAsia="仿宋_GB2312" w:asciiTheme="minorEastAsia" w:hAnsiTheme="minorEastAsia" w:cstheme="minorEastAsia"/>
                              <w:color w:val="000000"/>
                              <w:sz w:val="28"/>
                              <w:szCs w:val="28"/>
                              <w:lang w:eastAsia="zh-CN"/>
                            </w:rPr>
                            <w:t>19</w:t>
                          </w:r>
                          <w:r>
                            <w:rPr>
                              <w:rFonts w:hint="eastAsia" w:eastAsia="仿宋_GB2312" w:asciiTheme="minorEastAsia" w:hAnsiTheme="minorEastAsia" w:cstheme="minorEastAsia"/>
                              <w:color w:val="000000"/>
                              <w:sz w:val="28"/>
                              <w:szCs w:val="28"/>
                              <w:lang w:eastAsia="zh-CN"/>
                            </w:rPr>
                            <w:fldChar w:fldCharType="end"/>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&#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K5jgV8PAgAABwQAAA4AAAAAAAAAAQAgAAAA&#10;HwEAAGRycy9lMm9Eb2MueG1sUEsFBgAAAAAGAAYAWQEAAKAFAAAAAA==&#10;">
              <v:fill on="f" focussize="0,0"/>
              <v:stroke on="f" weight="0.5pt"/>
              <v:imagedata o:title=""/>
              <o:lock v:ext="edit" aspectratio="f"/>
              <v:textbox inset="0mm,0mm,0mm,0mm" style="mso-fit-shape-to-text:t;">
                <w:txbxContent>
                  <w:p>
                    <w:pPr>
                      <w:pStyle w:val="2"/>
                      <w:rPr>
                        <w:rFonts w:hint="eastAsia" w:eastAsia="仿宋_GB2312" w:asciiTheme="minorEastAsia" w:hAnsiTheme="minorEastAsia" w:cstheme="minorEastAsia"/>
                        <w:color w:val="000000"/>
                        <w:sz w:val="28"/>
                        <w:szCs w:val="28"/>
                        <w:lang w:eastAsia="zh-CN"/>
                      </w:rPr>
                    </w:pPr>
                    <w:r>
                      <w:rPr>
                        <w:rFonts w:hint="eastAsia" w:eastAsia="仿宋_GB2312" w:asciiTheme="minorEastAsia" w:hAnsiTheme="minorEastAsia" w:cstheme="minorEastAsia"/>
                        <w:color w:val="000000"/>
                        <w:sz w:val="28"/>
                        <w:szCs w:val="28"/>
                        <w:lang w:eastAsia="zh-CN"/>
                      </w:rPr>
                      <w:t>－</w:t>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fldChar w:fldCharType="begin"/>
                    </w:r>
                    <w:r>
                      <w:rPr>
                        <w:rFonts w:hint="eastAsia" w:eastAsia="仿宋_GB2312" w:asciiTheme="minorEastAsia" w:hAnsiTheme="minorEastAsia" w:cstheme="minorEastAsia"/>
                        <w:color w:val="000000"/>
                        <w:sz w:val="28"/>
                        <w:szCs w:val="28"/>
                        <w:lang w:eastAsia="zh-CN"/>
                      </w:rPr>
                      <w:instrText xml:space="preserve"> PAGE  \* MERGEFORMAT </w:instrText>
                    </w:r>
                    <w:r>
                      <w:rPr>
                        <w:rFonts w:hint="eastAsia" w:eastAsia="仿宋_GB2312" w:asciiTheme="minorEastAsia" w:hAnsiTheme="minorEastAsia" w:cstheme="minorEastAsia"/>
                        <w:color w:val="000000"/>
                        <w:sz w:val="28"/>
                        <w:szCs w:val="28"/>
                        <w:lang w:eastAsia="zh-CN"/>
                      </w:rPr>
                      <w:fldChar w:fldCharType="separate"/>
                    </w:r>
                    <w:r>
                      <w:rPr>
                        <w:rFonts w:hint="eastAsia" w:eastAsia="仿宋_GB2312" w:asciiTheme="minorEastAsia" w:hAnsiTheme="minorEastAsia" w:cstheme="minorEastAsia"/>
                        <w:color w:val="000000"/>
                        <w:sz w:val="28"/>
                        <w:szCs w:val="28"/>
                        <w:lang w:eastAsia="zh-CN"/>
                      </w:rPr>
                      <w:t>19</w:t>
                    </w:r>
                    <w:r>
                      <w:rPr>
                        <w:rFonts w:hint="eastAsia" w:eastAsia="仿宋_GB2312" w:asciiTheme="minorEastAsia" w:hAnsiTheme="minorEastAsia" w:cstheme="minorEastAsia"/>
                        <w:color w:val="000000"/>
                        <w:sz w:val="28"/>
                        <w:szCs w:val="28"/>
                        <w:lang w:eastAsia="zh-CN"/>
                      </w:rPr>
                      <w:fldChar w:fldCharType="end"/>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t>－</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color w:val="000000"/>
                              <w:sz w:val="32"/>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sxIV8PAgAABwQAAA4AAAAAAAAAAQAgAAAA&#10;HwEAAGRycy9lMm9Eb2MueG1sUEsFBgAAAAAGAAYAWQEAAKAFAAAAAA==&#10;">
              <v:fill on="f" focussize="0,0"/>
              <v:stroke on="f" weight="0.5pt"/>
              <v:imagedata o:title=""/>
              <o:lock v:ext="edit" aspectratio="f"/>
              <v:textbox inset="0mm,0mm,0mm,0mm" style="mso-fit-shape-to-text:t;">
                <w:txbxContent>
                  <w:p>
                    <w:pPr>
                      <w:rPr>
                        <w:rFonts w:hint="eastAsia" w:eastAsia="仿宋_GB2312"/>
                        <w:color w:val="000000"/>
                        <w:sz w:val="32"/>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2"/>
                            <w:rPr>
                              <w:rFonts w:hint="eastAsia" w:eastAsia="仿宋_GB2312"/>
                              <w:lang w:eastAsia="zh-CN"/>
                            </w:rPr>
                          </w:pPr>
                        </w:p>
                      </w:txbxContent>
                    </wps:txbx>
                    <wps:bodyPr rot="0" vert="horz" wrap="none" lIns="0" tIns="0" rIns="0" bIns="0" anchor="t" anchorCtr="0">
                      <a:spAutoFit/>
                    </wps:bodyPr>
                  </wps:wsp>
                </a:graphicData>
              </a:graphic>
            </wp:anchor>
          </w:drawing>
        </mc:Choice>
        <mc:Fallback>
          <w:pict>
            <v:shape id="文本框 1025" o:spid="_x0000_s1026" o:spt="202" type="#_x0000_t202" style="position:absolute;left:0pt;margin-left:0pt;margin-top:0pt;height:144pt;width:144pt;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J92v0wAAAAUBAAAPAAAAAAAAAAEAIAAAACIAAABkcnMvZG93bnJldi54&#10;bWxQSwECFAAUAAAACACHTuJAHR4zL8YBAABuAwAADgAAAAAAAAABACAAAAAiAQAAZHJzL2Uyb0Rv&#10;Yy54bWxQSwUGAAAAAAYABgBZAQAAWgUAAAAA&#10;">
              <v:fill on="f" focussize="0,0"/>
              <v:stroke on="f" weight="1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color w:val="000000"/>
                              <w:lang w:eastAsia="zh-CN"/>
                            </w:rPr>
                          </w:pPr>
                        </w:p>
                        <w:p>
                          <w:pPr>
                            <w:pStyle w:val="2"/>
                            <w:rPr>
                              <w:rFonts w:hint="eastAsia" w:eastAsiaTheme="minorEastAsia"/>
                              <w:color w:val="000000"/>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Kl7oQAgAABwQAAA4AAABkcnMvZTJvRG9jLnhtbK1TzY7TMBC+I/EO&#10;lu80aRd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hrSjRTGNHp+7fTj1+nn1/JVaSntX6GqI1FXOjemg5jHu49LmPX&#10;XeVU3NEPgR9EHy/kii4QHh9NJ9NpDheHbzgAP3t8bp0P74RRJBoFdZheIpUd1j70oUNIzKbNqpEy&#10;TVBq0hb0+u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ype6EAIAAAcEAAAOAAAAAAAAAAEAIAAA&#10;AB8BAABkcnMvZTJvRG9jLnhtbFBLBQYAAAAABgAGAFkBAAChBQAAAAA=&#10;">
              <v:fill on="f" focussize="0,0"/>
              <v:stroke on="f" weight="0.5pt"/>
              <v:imagedata o:title=""/>
              <o:lock v:ext="edit" aspectratio="f"/>
              <v:textbox inset="0mm,0mm,0mm,0mm" style="mso-fit-shape-to-text:t;">
                <w:txbxContent>
                  <w:p>
                    <w:pPr>
                      <w:pStyle w:val="2"/>
                      <w:rPr>
                        <w:rFonts w:hint="eastAsia" w:eastAsia="仿宋_GB2312"/>
                        <w:color w:val="000000"/>
                        <w:lang w:eastAsia="zh-CN"/>
                      </w:rPr>
                    </w:pPr>
                  </w:p>
                  <w:p>
                    <w:pPr>
                      <w:pStyle w:val="2"/>
                      <w:rPr>
                        <w:rFonts w:hint="eastAsia" w:eastAsiaTheme="minorEastAsia"/>
                        <w:color w:val="000000"/>
                        <w:lang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color w:val="000000"/>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rpcYyEAIAAAcEAAAOAAAAAAAAAAEAIAAA&#10;AB8BAABkcnMvZTJvRG9jLnhtbFBLBQYAAAAABgAGAFkBAAChBQAAAAA=&#10;">
              <v:fill on="f" focussize="0,0"/>
              <v:stroke on="f" weight="0.5pt"/>
              <v:imagedata o:title=""/>
              <o:lock v:ext="edit" aspectratio="f"/>
              <v:textbox inset="0mm,0mm,0mm,0mm" style="mso-fit-shape-to-text:t;">
                <w:txbxContent>
                  <w:p>
                    <w:pPr>
                      <w:pStyle w:val="2"/>
                      <w:rPr>
                        <w:rFonts w:hint="eastAsia" w:eastAsiaTheme="minorEastAsia"/>
                        <w:color w:val="000000"/>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16F0"/>
    <w:multiLevelType w:val="multilevel"/>
    <w:tmpl w:val="1DA216F0"/>
    <w:lvl w:ilvl="0" w:tentative="0">
      <w:start w:val="1"/>
      <w:numFmt w:val="chineseCountingThousand"/>
      <w:pStyle w:val="6"/>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08038F8"/>
    <w:multiLevelType w:val="multilevel"/>
    <w:tmpl w:val="708038F8"/>
    <w:lvl w:ilvl="0" w:tentative="0">
      <w:start w:val="1"/>
      <w:numFmt w:val="japaneseCounting"/>
      <w:lvlText w:val="%1、"/>
      <w:lvlJc w:val="left"/>
      <w:pPr>
        <w:ind w:left="1435" w:hanging="720"/>
      </w:pPr>
      <w:rPr>
        <w:rFonts w:hint="default" w:ascii="黑体" w:hAnsi="黑体" w:eastAsia="黑体"/>
      </w:rPr>
    </w:lvl>
    <w:lvl w:ilvl="1" w:tentative="0">
      <w:start w:val="1"/>
      <w:numFmt w:val="lowerLetter"/>
      <w:lvlText w:val="%2)"/>
      <w:lvlJc w:val="left"/>
      <w:pPr>
        <w:ind w:left="1555" w:hanging="420"/>
      </w:pPr>
    </w:lvl>
    <w:lvl w:ilvl="2" w:tentative="0">
      <w:start w:val="1"/>
      <w:numFmt w:val="lowerRoman"/>
      <w:lvlText w:val="%3."/>
      <w:lvlJc w:val="right"/>
      <w:pPr>
        <w:ind w:left="1975" w:hanging="420"/>
      </w:pPr>
    </w:lvl>
    <w:lvl w:ilvl="3" w:tentative="0">
      <w:start w:val="1"/>
      <w:numFmt w:val="decimal"/>
      <w:lvlText w:val="%4."/>
      <w:lvlJc w:val="left"/>
      <w:pPr>
        <w:ind w:left="2395" w:hanging="420"/>
      </w:pPr>
    </w:lvl>
    <w:lvl w:ilvl="4" w:tentative="0">
      <w:start w:val="1"/>
      <w:numFmt w:val="lowerLetter"/>
      <w:lvlText w:val="%5)"/>
      <w:lvlJc w:val="left"/>
      <w:pPr>
        <w:ind w:left="2815" w:hanging="420"/>
      </w:pPr>
    </w:lvl>
    <w:lvl w:ilvl="5" w:tentative="0">
      <w:start w:val="1"/>
      <w:numFmt w:val="lowerRoman"/>
      <w:lvlText w:val="%6."/>
      <w:lvlJc w:val="right"/>
      <w:pPr>
        <w:ind w:left="3235" w:hanging="420"/>
      </w:pPr>
    </w:lvl>
    <w:lvl w:ilvl="6" w:tentative="0">
      <w:start w:val="1"/>
      <w:numFmt w:val="decimal"/>
      <w:lvlText w:val="%7."/>
      <w:lvlJc w:val="left"/>
      <w:pPr>
        <w:ind w:left="3655" w:hanging="420"/>
      </w:pPr>
    </w:lvl>
    <w:lvl w:ilvl="7" w:tentative="0">
      <w:start w:val="1"/>
      <w:numFmt w:val="lowerLetter"/>
      <w:lvlText w:val="%8)"/>
      <w:lvlJc w:val="left"/>
      <w:pPr>
        <w:ind w:left="4075" w:hanging="420"/>
      </w:pPr>
    </w:lvl>
    <w:lvl w:ilvl="8" w:tentative="0">
      <w:start w:val="1"/>
      <w:numFmt w:val="lowerRoman"/>
      <w:lvlText w:val="%9."/>
      <w:lvlJc w:val="right"/>
      <w:pPr>
        <w:ind w:left="44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8B"/>
    <w:rsid w:val="001F4D2A"/>
    <w:rsid w:val="00460313"/>
    <w:rsid w:val="005429D5"/>
    <w:rsid w:val="005F54E1"/>
    <w:rsid w:val="00614513"/>
    <w:rsid w:val="008A6C61"/>
    <w:rsid w:val="00946E81"/>
    <w:rsid w:val="009E3882"/>
    <w:rsid w:val="00A6574A"/>
    <w:rsid w:val="00AB5EF5"/>
    <w:rsid w:val="00BE28A1"/>
    <w:rsid w:val="00BE2F1C"/>
    <w:rsid w:val="00CA57AE"/>
    <w:rsid w:val="00CD4DC9"/>
    <w:rsid w:val="00F07A4B"/>
    <w:rsid w:val="00F92A8B"/>
    <w:rsid w:val="00FB7624"/>
    <w:rsid w:val="01042690"/>
    <w:rsid w:val="013A435F"/>
    <w:rsid w:val="01773759"/>
    <w:rsid w:val="01E85945"/>
    <w:rsid w:val="01FA7119"/>
    <w:rsid w:val="01FF5305"/>
    <w:rsid w:val="021F198C"/>
    <w:rsid w:val="02544E89"/>
    <w:rsid w:val="02724D9B"/>
    <w:rsid w:val="02C072C3"/>
    <w:rsid w:val="030B2362"/>
    <w:rsid w:val="031C15A9"/>
    <w:rsid w:val="04903689"/>
    <w:rsid w:val="05833515"/>
    <w:rsid w:val="0592295D"/>
    <w:rsid w:val="05D53766"/>
    <w:rsid w:val="06EE29D9"/>
    <w:rsid w:val="0707478D"/>
    <w:rsid w:val="0716261D"/>
    <w:rsid w:val="07415054"/>
    <w:rsid w:val="07712C19"/>
    <w:rsid w:val="07BF063C"/>
    <w:rsid w:val="07F47030"/>
    <w:rsid w:val="07F8635B"/>
    <w:rsid w:val="080F267A"/>
    <w:rsid w:val="09AC109C"/>
    <w:rsid w:val="09DE17E6"/>
    <w:rsid w:val="0A9E01FA"/>
    <w:rsid w:val="0AAB7E02"/>
    <w:rsid w:val="0AD34F03"/>
    <w:rsid w:val="0B505CDD"/>
    <w:rsid w:val="0C9515A7"/>
    <w:rsid w:val="0CA62F8E"/>
    <w:rsid w:val="0CE82CCE"/>
    <w:rsid w:val="0D40009C"/>
    <w:rsid w:val="0D6217B2"/>
    <w:rsid w:val="0D7E7198"/>
    <w:rsid w:val="0F3512F7"/>
    <w:rsid w:val="0F40259F"/>
    <w:rsid w:val="10147868"/>
    <w:rsid w:val="102B5DB5"/>
    <w:rsid w:val="10431DE5"/>
    <w:rsid w:val="10F91DE5"/>
    <w:rsid w:val="116C7E9A"/>
    <w:rsid w:val="120F4C65"/>
    <w:rsid w:val="12136924"/>
    <w:rsid w:val="12994560"/>
    <w:rsid w:val="12E3556B"/>
    <w:rsid w:val="134F407A"/>
    <w:rsid w:val="136103CF"/>
    <w:rsid w:val="13714672"/>
    <w:rsid w:val="139B1A9F"/>
    <w:rsid w:val="13C9720C"/>
    <w:rsid w:val="13CC1C5E"/>
    <w:rsid w:val="14C02811"/>
    <w:rsid w:val="14EE4955"/>
    <w:rsid w:val="15271F5B"/>
    <w:rsid w:val="15D307D1"/>
    <w:rsid w:val="15DF1342"/>
    <w:rsid w:val="15EB51B4"/>
    <w:rsid w:val="161D0003"/>
    <w:rsid w:val="16311DD4"/>
    <w:rsid w:val="16583170"/>
    <w:rsid w:val="16696DBA"/>
    <w:rsid w:val="166D087F"/>
    <w:rsid w:val="16D903AF"/>
    <w:rsid w:val="16D93709"/>
    <w:rsid w:val="16FA62F0"/>
    <w:rsid w:val="18CB1E82"/>
    <w:rsid w:val="18E278BB"/>
    <w:rsid w:val="19D025AA"/>
    <w:rsid w:val="19FC15E6"/>
    <w:rsid w:val="1A2F4CC3"/>
    <w:rsid w:val="1A4416C1"/>
    <w:rsid w:val="1A914C79"/>
    <w:rsid w:val="1AF67FB2"/>
    <w:rsid w:val="1B085ECD"/>
    <w:rsid w:val="1BB8152B"/>
    <w:rsid w:val="1BEB1FBF"/>
    <w:rsid w:val="1CD133DA"/>
    <w:rsid w:val="1CF91C94"/>
    <w:rsid w:val="1D8B00D7"/>
    <w:rsid w:val="1DAD67A2"/>
    <w:rsid w:val="1E7A2ADE"/>
    <w:rsid w:val="1E9C7589"/>
    <w:rsid w:val="1EA76D59"/>
    <w:rsid w:val="1F4F49FF"/>
    <w:rsid w:val="1F743A12"/>
    <w:rsid w:val="1FE25B87"/>
    <w:rsid w:val="20836C01"/>
    <w:rsid w:val="20C83A1C"/>
    <w:rsid w:val="20E37E90"/>
    <w:rsid w:val="21045D5E"/>
    <w:rsid w:val="213B3D9B"/>
    <w:rsid w:val="219F36DC"/>
    <w:rsid w:val="21C83333"/>
    <w:rsid w:val="21EA2011"/>
    <w:rsid w:val="22056466"/>
    <w:rsid w:val="22726476"/>
    <w:rsid w:val="22CB3DB0"/>
    <w:rsid w:val="23097387"/>
    <w:rsid w:val="231F6B57"/>
    <w:rsid w:val="23382D93"/>
    <w:rsid w:val="233A3E20"/>
    <w:rsid w:val="23485A6B"/>
    <w:rsid w:val="235F122C"/>
    <w:rsid w:val="23BE1392"/>
    <w:rsid w:val="23FF4FFB"/>
    <w:rsid w:val="24376272"/>
    <w:rsid w:val="24825AB4"/>
    <w:rsid w:val="24904419"/>
    <w:rsid w:val="24D04860"/>
    <w:rsid w:val="24D21CB7"/>
    <w:rsid w:val="255B34A0"/>
    <w:rsid w:val="25CC4EE0"/>
    <w:rsid w:val="262F2132"/>
    <w:rsid w:val="265F2B4E"/>
    <w:rsid w:val="267C26F1"/>
    <w:rsid w:val="26C6393F"/>
    <w:rsid w:val="27255418"/>
    <w:rsid w:val="274D7429"/>
    <w:rsid w:val="27A63C87"/>
    <w:rsid w:val="28187799"/>
    <w:rsid w:val="286304CC"/>
    <w:rsid w:val="28DD431A"/>
    <w:rsid w:val="29024F45"/>
    <w:rsid w:val="290F70AF"/>
    <w:rsid w:val="29BB103C"/>
    <w:rsid w:val="2A065C54"/>
    <w:rsid w:val="2A4C029E"/>
    <w:rsid w:val="2A734FA1"/>
    <w:rsid w:val="2AA64E46"/>
    <w:rsid w:val="2ADF7EB4"/>
    <w:rsid w:val="2AF04AA5"/>
    <w:rsid w:val="2AF80CE3"/>
    <w:rsid w:val="2AFB12D0"/>
    <w:rsid w:val="2B5B1245"/>
    <w:rsid w:val="2B9C233A"/>
    <w:rsid w:val="2BC362A6"/>
    <w:rsid w:val="2BD71DB3"/>
    <w:rsid w:val="2BF50D54"/>
    <w:rsid w:val="2C337C31"/>
    <w:rsid w:val="2C384D2F"/>
    <w:rsid w:val="2C8462A5"/>
    <w:rsid w:val="2CA3274C"/>
    <w:rsid w:val="2CAF6D32"/>
    <w:rsid w:val="2CB5771A"/>
    <w:rsid w:val="2CC55CB1"/>
    <w:rsid w:val="2CDB1D50"/>
    <w:rsid w:val="2D1515DE"/>
    <w:rsid w:val="2D6641E2"/>
    <w:rsid w:val="2DA9466C"/>
    <w:rsid w:val="2DC14560"/>
    <w:rsid w:val="2DF87F99"/>
    <w:rsid w:val="2E1876BA"/>
    <w:rsid w:val="2E311F33"/>
    <w:rsid w:val="2E91426D"/>
    <w:rsid w:val="2E9168BB"/>
    <w:rsid w:val="2FD3555F"/>
    <w:rsid w:val="2FDF4EB9"/>
    <w:rsid w:val="2FE56A95"/>
    <w:rsid w:val="300552F2"/>
    <w:rsid w:val="30133FEC"/>
    <w:rsid w:val="3046443A"/>
    <w:rsid w:val="308F4124"/>
    <w:rsid w:val="30B90EE0"/>
    <w:rsid w:val="30EA404F"/>
    <w:rsid w:val="30FF3940"/>
    <w:rsid w:val="31291F45"/>
    <w:rsid w:val="31A35A6A"/>
    <w:rsid w:val="31C703F3"/>
    <w:rsid w:val="320C32B4"/>
    <w:rsid w:val="32AA3B08"/>
    <w:rsid w:val="32CC50D5"/>
    <w:rsid w:val="33110BF2"/>
    <w:rsid w:val="3312121F"/>
    <w:rsid w:val="33172317"/>
    <w:rsid w:val="333C6C46"/>
    <w:rsid w:val="33462906"/>
    <w:rsid w:val="337546C2"/>
    <w:rsid w:val="33B46410"/>
    <w:rsid w:val="33B87A1A"/>
    <w:rsid w:val="33EA5E1E"/>
    <w:rsid w:val="342122B8"/>
    <w:rsid w:val="342A79A4"/>
    <w:rsid w:val="34F41906"/>
    <w:rsid w:val="35690A53"/>
    <w:rsid w:val="35A078D7"/>
    <w:rsid w:val="35AF2252"/>
    <w:rsid w:val="35B3146F"/>
    <w:rsid w:val="35B558D1"/>
    <w:rsid w:val="35E47F4A"/>
    <w:rsid w:val="35FC4700"/>
    <w:rsid w:val="36891AAE"/>
    <w:rsid w:val="36C35CDF"/>
    <w:rsid w:val="36E8189B"/>
    <w:rsid w:val="370C39A7"/>
    <w:rsid w:val="37B60445"/>
    <w:rsid w:val="37C7544B"/>
    <w:rsid w:val="37E22DB7"/>
    <w:rsid w:val="38785A35"/>
    <w:rsid w:val="38C94A44"/>
    <w:rsid w:val="38D2000B"/>
    <w:rsid w:val="38DC32DF"/>
    <w:rsid w:val="39976166"/>
    <w:rsid w:val="39BD4094"/>
    <w:rsid w:val="3A9E4783"/>
    <w:rsid w:val="3AE20919"/>
    <w:rsid w:val="3B04035D"/>
    <w:rsid w:val="3B204442"/>
    <w:rsid w:val="3B3D45FB"/>
    <w:rsid w:val="3B3E3F20"/>
    <w:rsid w:val="3BF633ED"/>
    <w:rsid w:val="3C656EA0"/>
    <w:rsid w:val="3C93553E"/>
    <w:rsid w:val="3D004A3D"/>
    <w:rsid w:val="3D1D5FC5"/>
    <w:rsid w:val="3DB940B7"/>
    <w:rsid w:val="3E8E5F3A"/>
    <w:rsid w:val="3EE5603F"/>
    <w:rsid w:val="3EF65FF1"/>
    <w:rsid w:val="3F555E6F"/>
    <w:rsid w:val="3F753035"/>
    <w:rsid w:val="412A0477"/>
    <w:rsid w:val="416B305F"/>
    <w:rsid w:val="418B09BD"/>
    <w:rsid w:val="419014A0"/>
    <w:rsid w:val="41C544BB"/>
    <w:rsid w:val="41F952B0"/>
    <w:rsid w:val="4207520D"/>
    <w:rsid w:val="4228387B"/>
    <w:rsid w:val="423A1109"/>
    <w:rsid w:val="425857C5"/>
    <w:rsid w:val="42C53C6F"/>
    <w:rsid w:val="43A803DF"/>
    <w:rsid w:val="43E80C51"/>
    <w:rsid w:val="440F458F"/>
    <w:rsid w:val="44264D46"/>
    <w:rsid w:val="44573E6E"/>
    <w:rsid w:val="446F0210"/>
    <w:rsid w:val="44822689"/>
    <w:rsid w:val="44C85C94"/>
    <w:rsid w:val="454D46DF"/>
    <w:rsid w:val="456B0FC5"/>
    <w:rsid w:val="459F0180"/>
    <w:rsid w:val="45B86B76"/>
    <w:rsid w:val="45DC7446"/>
    <w:rsid w:val="463B0AAF"/>
    <w:rsid w:val="465717F4"/>
    <w:rsid w:val="46E86178"/>
    <w:rsid w:val="470560EB"/>
    <w:rsid w:val="4710499A"/>
    <w:rsid w:val="476840B8"/>
    <w:rsid w:val="47913E54"/>
    <w:rsid w:val="47CD0F5B"/>
    <w:rsid w:val="47EA067F"/>
    <w:rsid w:val="48322CC3"/>
    <w:rsid w:val="485E2503"/>
    <w:rsid w:val="48B62CA4"/>
    <w:rsid w:val="48B85EFF"/>
    <w:rsid w:val="496B6161"/>
    <w:rsid w:val="499002C8"/>
    <w:rsid w:val="49E22EFF"/>
    <w:rsid w:val="4A1D1956"/>
    <w:rsid w:val="4A20013E"/>
    <w:rsid w:val="4A6129DC"/>
    <w:rsid w:val="4A8B7421"/>
    <w:rsid w:val="4AD3548A"/>
    <w:rsid w:val="4B255B21"/>
    <w:rsid w:val="4B4E67CC"/>
    <w:rsid w:val="4B5233B9"/>
    <w:rsid w:val="4B7B53C0"/>
    <w:rsid w:val="4BE27371"/>
    <w:rsid w:val="4BE76145"/>
    <w:rsid w:val="4C233382"/>
    <w:rsid w:val="4C2B14D8"/>
    <w:rsid w:val="4C495F9D"/>
    <w:rsid w:val="4C552648"/>
    <w:rsid w:val="4C79779B"/>
    <w:rsid w:val="4D934302"/>
    <w:rsid w:val="4D993F6C"/>
    <w:rsid w:val="4DBD2230"/>
    <w:rsid w:val="4DC302A1"/>
    <w:rsid w:val="4DD15473"/>
    <w:rsid w:val="4DFA392A"/>
    <w:rsid w:val="4E272D6C"/>
    <w:rsid w:val="4E524775"/>
    <w:rsid w:val="4E723F12"/>
    <w:rsid w:val="4EE10025"/>
    <w:rsid w:val="4EE41276"/>
    <w:rsid w:val="4F1667D1"/>
    <w:rsid w:val="4F255F22"/>
    <w:rsid w:val="4F3B4629"/>
    <w:rsid w:val="4F8C67D8"/>
    <w:rsid w:val="4FDBE5FD"/>
    <w:rsid w:val="5009767D"/>
    <w:rsid w:val="500B0E89"/>
    <w:rsid w:val="50BD1283"/>
    <w:rsid w:val="512C2849"/>
    <w:rsid w:val="51504268"/>
    <w:rsid w:val="5190705D"/>
    <w:rsid w:val="51CE4EA8"/>
    <w:rsid w:val="51F37F76"/>
    <w:rsid w:val="51F61F7D"/>
    <w:rsid w:val="524B2B84"/>
    <w:rsid w:val="5261676E"/>
    <w:rsid w:val="527463D6"/>
    <w:rsid w:val="52AD57CE"/>
    <w:rsid w:val="52B4662C"/>
    <w:rsid w:val="532A477C"/>
    <w:rsid w:val="533349AD"/>
    <w:rsid w:val="53362F49"/>
    <w:rsid w:val="53E61964"/>
    <w:rsid w:val="54C243D0"/>
    <w:rsid w:val="55AC361A"/>
    <w:rsid w:val="55D9236E"/>
    <w:rsid w:val="55FC1575"/>
    <w:rsid w:val="5726768F"/>
    <w:rsid w:val="573134A5"/>
    <w:rsid w:val="579815DD"/>
    <w:rsid w:val="579F14EB"/>
    <w:rsid w:val="58157FDA"/>
    <w:rsid w:val="58336BD5"/>
    <w:rsid w:val="586C5DCE"/>
    <w:rsid w:val="58B83928"/>
    <w:rsid w:val="58C40E99"/>
    <w:rsid w:val="59280419"/>
    <w:rsid w:val="592A3F1C"/>
    <w:rsid w:val="59785217"/>
    <w:rsid w:val="5A1D2B64"/>
    <w:rsid w:val="5A4659CD"/>
    <w:rsid w:val="5ADB1B80"/>
    <w:rsid w:val="5AFC3010"/>
    <w:rsid w:val="5B2C741D"/>
    <w:rsid w:val="5B576875"/>
    <w:rsid w:val="5C093206"/>
    <w:rsid w:val="5C4D10CD"/>
    <w:rsid w:val="5CB0091F"/>
    <w:rsid w:val="5D162275"/>
    <w:rsid w:val="5D477348"/>
    <w:rsid w:val="5D4F4FA5"/>
    <w:rsid w:val="5D705ADA"/>
    <w:rsid w:val="5E4640FE"/>
    <w:rsid w:val="5E497AA0"/>
    <w:rsid w:val="5E902AFD"/>
    <w:rsid w:val="5EDD11E9"/>
    <w:rsid w:val="5EF438B4"/>
    <w:rsid w:val="5F0A4D9D"/>
    <w:rsid w:val="5F0F2EAE"/>
    <w:rsid w:val="5F7840B8"/>
    <w:rsid w:val="5FB7562C"/>
    <w:rsid w:val="5FED12AD"/>
    <w:rsid w:val="60196D67"/>
    <w:rsid w:val="601C63BD"/>
    <w:rsid w:val="607070FE"/>
    <w:rsid w:val="609D3D02"/>
    <w:rsid w:val="60A51CCE"/>
    <w:rsid w:val="611472EB"/>
    <w:rsid w:val="61377E0E"/>
    <w:rsid w:val="624A165C"/>
    <w:rsid w:val="626A30CE"/>
    <w:rsid w:val="62706A22"/>
    <w:rsid w:val="62BE50CB"/>
    <w:rsid w:val="62EE1982"/>
    <w:rsid w:val="63511E83"/>
    <w:rsid w:val="6357048A"/>
    <w:rsid w:val="6378768F"/>
    <w:rsid w:val="63A63BD8"/>
    <w:rsid w:val="63E6308D"/>
    <w:rsid w:val="640E0003"/>
    <w:rsid w:val="646E2E54"/>
    <w:rsid w:val="646F3488"/>
    <w:rsid w:val="64DF21E3"/>
    <w:rsid w:val="651240F9"/>
    <w:rsid w:val="652106FC"/>
    <w:rsid w:val="65CE1D5A"/>
    <w:rsid w:val="666F62AD"/>
    <w:rsid w:val="669605BF"/>
    <w:rsid w:val="66A55B12"/>
    <w:rsid w:val="66D66052"/>
    <w:rsid w:val="66F852F1"/>
    <w:rsid w:val="66FC707E"/>
    <w:rsid w:val="67657039"/>
    <w:rsid w:val="68710DC0"/>
    <w:rsid w:val="688635D1"/>
    <w:rsid w:val="68EB7E09"/>
    <w:rsid w:val="69B6707A"/>
    <w:rsid w:val="69F75672"/>
    <w:rsid w:val="6A4B7DA7"/>
    <w:rsid w:val="6AB0219C"/>
    <w:rsid w:val="6ADA47E8"/>
    <w:rsid w:val="6B3103EC"/>
    <w:rsid w:val="6B4D7460"/>
    <w:rsid w:val="6B6C5277"/>
    <w:rsid w:val="6B8D6287"/>
    <w:rsid w:val="6BDB01FD"/>
    <w:rsid w:val="6BE768DE"/>
    <w:rsid w:val="6BEA0DA8"/>
    <w:rsid w:val="6C1E27F0"/>
    <w:rsid w:val="6D106783"/>
    <w:rsid w:val="6D266CFC"/>
    <w:rsid w:val="6D2859C8"/>
    <w:rsid w:val="6D824438"/>
    <w:rsid w:val="6D8E1959"/>
    <w:rsid w:val="6DA63330"/>
    <w:rsid w:val="6E1D0836"/>
    <w:rsid w:val="6E6F0FF2"/>
    <w:rsid w:val="6E7A3086"/>
    <w:rsid w:val="6EE65392"/>
    <w:rsid w:val="6EE66B8E"/>
    <w:rsid w:val="6EF05854"/>
    <w:rsid w:val="6F222039"/>
    <w:rsid w:val="6F847E6D"/>
    <w:rsid w:val="6FDD762C"/>
    <w:rsid w:val="70576A79"/>
    <w:rsid w:val="705B02A4"/>
    <w:rsid w:val="70A4249B"/>
    <w:rsid w:val="7121103C"/>
    <w:rsid w:val="712F05BE"/>
    <w:rsid w:val="7180054D"/>
    <w:rsid w:val="721D23DB"/>
    <w:rsid w:val="7230181B"/>
    <w:rsid w:val="72E4245F"/>
    <w:rsid w:val="73A64E76"/>
    <w:rsid w:val="73B849DD"/>
    <w:rsid w:val="73F127A4"/>
    <w:rsid w:val="74FD2437"/>
    <w:rsid w:val="75593A3E"/>
    <w:rsid w:val="756B594D"/>
    <w:rsid w:val="75880A12"/>
    <w:rsid w:val="759A5F7F"/>
    <w:rsid w:val="762652A3"/>
    <w:rsid w:val="76F408C9"/>
    <w:rsid w:val="770D1235"/>
    <w:rsid w:val="772953F0"/>
    <w:rsid w:val="777F695D"/>
    <w:rsid w:val="77BE28BB"/>
    <w:rsid w:val="77CB0529"/>
    <w:rsid w:val="78AA0B1E"/>
    <w:rsid w:val="791B4B64"/>
    <w:rsid w:val="794C1262"/>
    <w:rsid w:val="79541B51"/>
    <w:rsid w:val="79B62969"/>
    <w:rsid w:val="7A0A2532"/>
    <w:rsid w:val="7A2820F0"/>
    <w:rsid w:val="7AAD4CA9"/>
    <w:rsid w:val="7AB95C46"/>
    <w:rsid w:val="7ABD16CD"/>
    <w:rsid w:val="7AF62CB5"/>
    <w:rsid w:val="7B9920B6"/>
    <w:rsid w:val="7BA65F8F"/>
    <w:rsid w:val="7BB74166"/>
    <w:rsid w:val="7BF9091D"/>
    <w:rsid w:val="7CAE3CED"/>
    <w:rsid w:val="7CE75C9F"/>
    <w:rsid w:val="7D736A44"/>
    <w:rsid w:val="7DA93AD9"/>
    <w:rsid w:val="7DFA3818"/>
    <w:rsid w:val="7E467187"/>
    <w:rsid w:val="7E9006E5"/>
    <w:rsid w:val="7EC84685"/>
    <w:rsid w:val="7F33726D"/>
    <w:rsid w:val="7FAD09F4"/>
    <w:rsid w:val="7FBA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0"/>
    <w:pPr>
      <w:keepNext/>
      <w:keepLines/>
      <w:spacing w:line="660" w:lineRule="exact"/>
      <w:jc w:val="center"/>
      <w:outlineLvl w:val="0"/>
    </w:pPr>
    <w:rPr>
      <w:rFonts w:eastAsia="方正小标宋简体" w:asciiTheme="minorAscii" w:hAnsiTheme="minorAscii"/>
      <w:kern w:val="44"/>
      <w:sz w:val="44"/>
    </w:rPr>
  </w:style>
  <w:style w:type="paragraph" w:styleId="4">
    <w:name w:val="heading 2"/>
    <w:basedOn w:val="1"/>
    <w:next w:val="1"/>
    <w:unhideWhenUsed/>
    <w:qFormat/>
    <w:uiPriority w:val="9"/>
    <w:pPr>
      <w:keepNext/>
      <w:keepLines/>
      <w:spacing w:beforeLines="0" w:beforeAutospacing="0" w:afterLines="0" w:afterAutospacing="0" w:line="600" w:lineRule="exact"/>
      <w:ind w:firstLine="0" w:firstLineChars="0"/>
      <w:jc w:val="center"/>
      <w:outlineLvl w:val="1"/>
    </w:pPr>
    <w:rPr>
      <w:rFonts w:ascii="Arial" w:hAnsi="Arial" w:eastAsia="楷体_GB2312"/>
      <w:b/>
      <w:sz w:val="32"/>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5">
    <w:name w:val="Body Text"/>
    <w:basedOn w:val="1"/>
    <w:next w:val="6"/>
    <w:qFormat/>
    <w:uiPriority w:val="0"/>
  </w:style>
  <w:style w:type="paragraph" w:styleId="6">
    <w:name w:val="Body Text 2"/>
    <w:basedOn w:val="1"/>
    <w:next w:val="5"/>
    <w:qFormat/>
    <w:uiPriority w:val="99"/>
    <w:pPr>
      <w:widowControl/>
      <w:numPr>
        <w:ilvl w:val="0"/>
        <w:numId w:val="1"/>
      </w:numPr>
      <w:spacing w:beforeLines="50" w:line="336" w:lineRule="auto"/>
      <w:ind w:left="0" w:firstLine="0"/>
      <w:jc w:val="both"/>
    </w:pPr>
    <w:rPr>
      <w:rFonts w:ascii="Times New Roman" w:hAnsi="Times New Roman" w:eastAsia="黑体" w:cs="Times New Roman"/>
      <w:kern w:val="0"/>
      <w:sz w:val="21"/>
      <w:szCs w:val="20"/>
      <w:lang w:val="en-GB" w:eastAsia="zh-CN" w:bidi="ar-SA"/>
    </w:rPr>
  </w:style>
  <w:style w:type="paragraph" w:styleId="7">
    <w:name w:val="Body Text Indent"/>
    <w:basedOn w:val="1"/>
    <w:next w:val="1"/>
    <w:qFormat/>
    <w:uiPriority w:val="99"/>
    <w:pPr>
      <w:spacing w:after="120"/>
      <w:ind w:left="420" w:leftChars="200"/>
    </w:pPr>
  </w:style>
  <w:style w:type="paragraph" w:styleId="8">
    <w:name w:val="envelope return"/>
    <w:basedOn w:val="1"/>
    <w:qFormat/>
    <w:uiPriority w:val="0"/>
    <w:pPr>
      <w:snapToGrid w:val="0"/>
    </w:pPr>
    <w:rPr>
      <w:rFonts w:ascii="Arial" w:hAnsi="Arial" w:eastAsia="宋体" w:cs="Arial"/>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next w:val="12"/>
    <w:semiHidden/>
    <w:qFormat/>
    <w:uiPriority w:val="99"/>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styleId="12">
    <w:name w:val="Body Text First Indent 2"/>
    <w:basedOn w:val="7"/>
    <w:next w:val="1"/>
    <w:qFormat/>
    <w:uiPriority w:val="99"/>
    <w:pPr>
      <w:spacing w:before="100" w:beforeAutospacing="1"/>
      <w:ind w:left="0" w:firstLine="420" w:firstLineChars="200"/>
    </w:pPr>
    <w:rPr>
      <w:rFonts w:ascii="Times New Roman" w:hAnsi="Times New Roman" w:cs="Times New Roman"/>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paragraph" w:customStyle="1" w:styleId="17">
    <w:name w:val="正文文本 21"/>
    <w:basedOn w:val="1"/>
    <w:qFormat/>
    <w:uiPriority w:val="99"/>
    <w:pPr>
      <w:spacing w:after="120" w:line="480" w:lineRule="auto"/>
    </w:pPr>
    <w:rPr>
      <w:rFonts w:ascii="Times New Roman" w:hAnsi="Times New Roman"/>
    </w:rPr>
  </w:style>
  <w:style w:type="character" w:customStyle="1" w:styleId="18">
    <w:name w:val="rich_media_meta"/>
    <w:basedOn w:val="15"/>
    <w:qFormat/>
    <w:uiPriority w:val="0"/>
  </w:style>
  <w:style w:type="paragraph" w:styleId="19">
    <w:name w:val="List Paragraph"/>
    <w:basedOn w:val="1"/>
    <w:qFormat/>
    <w:uiPriority w:val="34"/>
    <w:pPr>
      <w:ind w:firstLine="420" w:firstLineChars="200"/>
    </w:pPr>
  </w:style>
  <w:style w:type="character" w:customStyle="1" w:styleId="20">
    <w:name w:val="标题 1 Char1"/>
    <w:link w:val="3"/>
    <w:qFormat/>
    <w:uiPriority w:val="0"/>
    <w:rPr>
      <w:rFonts w:eastAsia="方正小标宋简体" w:asciiTheme="minorAscii" w:hAnsiTheme="minorAscii"/>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11507</Words>
  <Characters>11682</Characters>
  <Lines>48</Lines>
  <Paragraphs>13</Paragraphs>
  <TotalTime>2</TotalTime>
  <ScaleCrop>false</ScaleCrop>
  <LinksUpToDate>false</LinksUpToDate>
  <CharactersWithSpaces>11756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2020-10-19T15:30:00Z</dcterms:created>
  <dc:creator>微软用户</dc:creator>
  <cp:lastModifiedBy>Administrator</cp:lastModifiedBy>
  <cp:lastPrinted>2025-07-08T02:06:00Z</cp:lastPrinted>
  <dcterms:modified xsi:type="dcterms:W3CDTF">2025-07-10T01:54:50Z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